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64"/>
        <w:jc w:val="right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Утвержден</w:t>
      </w:r>
      <w:r/>
    </w:p>
    <w:p>
      <w:pPr>
        <w:pStyle w:val="16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председателя</w:t>
      </w:r>
      <w:r/>
    </w:p>
    <w:p>
      <w:pPr>
        <w:pStyle w:val="16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по культуре</w:t>
      </w:r>
      <w:r/>
    </w:p>
    <w:p>
      <w:pPr>
        <w:pStyle w:val="16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/>
    </w:p>
    <w:p>
      <w:pPr>
        <w:pStyle w:val="16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__________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</w:t>
      </w:r>
      <w:r/>
    </w:p>
    <w:p>
      <w:pPr>
        <w:pStyle w:val="16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66"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0" w:name="P42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ПОРЯДОК</w:t>
      </w:r>
      <w:r/>
    </w:p>
    <w:p>
      <w:pPr>
        <w:pStyle w:val="1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СООБЩЕНИЯ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ГОСУДАРСТВЕННЫМИ СЛУЖАЩИМИ КУРСКОЙ ОБЛАСТИ, ЗАМЕЩАЮЩИМИ ДОЛЖНОСТИ В КОМИТЕТЕ ПО КУЛЬТУРЕ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 ПОЛУЧЕНИИ ПОДАРКА</w:t>
      </w:r>
      <w:r/>
    </w:p>
    <w:p>
      <w:pPr>
        <w:pStyle w:val="1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ПРОТОКОЛЬНЫМИ МЕРОПРИЯТИЯМИ, СЛУЖЕБНЫМИ</w:t>
      </w:r>
      <w:r/>
    </w:p>
    <w:p>
      <w:pPr>
        <w:pStyle w:val="1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КОМАНДИРОВКАМИ И ДРУГИМИ ОФИЦИАЛЬНЫМИ МЕРОПРИЯТИЯМИ, УЧАСТИЕ</w:t>
      </w:r>
      <w:r/>
    </w:p>
    <w:p>
      <w:pPr>
        <w:pStyle w:val="1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КОТОРЫХ СВЯЗАНО С ИСПОЛНЕНИЕМ ИМИ СЛУЖЕБНЫХ (ДОЛЖНОСТНЫХ)</w:t>
      </w:r>
      <w:r/>
    </w:p>
    <w:p>
      <w:pPr>
        <w:pStyle w:val="1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ОБЯЗАННОСТЕЙ, СДАЧИ И ОЦЕНКИ ПОДАРКА, РЕАЛИЗАЦИИ (ВЫКУПА)</w:t>
      </w:r>
      <w:r/>
    </w:p>
    <w:p>
      <w:pPr>
        <w:pStyle w:val="1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ЗАЧИСЛЕНИЯ СРЕДСТВ, ВЫРУЧЕННЫХ ОТ ЕГО РЕАЛИЗАЦИИ</w:t>
      </w:r>
      <w:r/>
    </w:p>
    <w:p>
      <w:pPr>
        <w:spacing w:after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правила сообщения государственными гражданскими служащими Курской области, замещающими должности государственной гражданской службы Курской области в </w:t>
      </w:r>
      <w:r>
        <w:rPr>
          <w:rFonts w:ascii="Times New Roman" w:hAnsi="Times New Roman" w:cs="Times New Roman"/>
          <w:sz w:val="28"/>
          <w:szCs w:val="28"/>
        </w:rPr>
        <w:t xml:space="preserve">комитете 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культуре </w:t>
      </w:r>
      <w:r>
        <w:rPr>
          <w:rFonts w:ascii="Times New Roman" w:hAnsi="Times New Roman" w:cs="Times New Roman"/>
          <w:sz w:val="28"/>
          <w:szCs w:val="28"/>
        </w:rPr>
        <w:t xml:space="preserve">Курской области,  назначение на которые и освобождение от которых осуществляются </w:t>
      </w:r>
      <w:r>
        <w:rPr>
          <w:rFonts w:ascii="Times New Roman" w:hAnsi="Times New Roman" w:cs="Times New Roman"/>
          <w:sz w:val="28"/>
          <w:szCs w:val="28"/>
        </w:rPr>
        <w:t xml:space="preserve">председателем комитета по культуре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- лица, замещающие государственные должности, служащие), о получении подарка в связи с протокольными мероприятиями, служебными</w:t>
      </w:r>
      <w:r>
        <w:rPr>
          <w:rFonts w:ascii="Times New Roman" w:hAnsi="Times New Roman" w:cs="Times New Roman"/>
          <w:sz w:val="28"/>
          <w:szCs w:val="28"/>
        </w:rPr>
        <w:t xml:space="preserve">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его сдачи, оценки, реализации (выкупа) и зачисления средств, вырученных от его реализации.</w:t>
      </w:r>
      <w:r/>
    </w:p>
    <w:p>
      <w:pPr>
        <w:pStyle w:val="164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Понятия, используемые в настоящем Порядке, применяются в значениях, определенных законодательством Российской Федерации о противодействии коррупции.</w:t>
      </w:r>
      <w:r/>
    </w:p>
    <w:p>
      <w:pPr>
        <w:pStyle w:val="164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Лица, замещающие должности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 Курской области в комитете по культуре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служащие не вправе получать подарки от физических (юридических) лиц в связи с их должностным положением или исполнением ими сл</w:t>
      </w:r>
      <w:r>
        <w:rPr>
          <w:rFonts w:ascii="Times New Roman" w:hAnsi="Times New Roman" w:cs="Times New Roman"/>
          <w:sz w:val="28"/>
          <w:szCs w:val="28"/>
        </w:rPr>
        <w:t xml:space="preserve">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  <w:r/>
    </w:p>
    <w:p>
      <w:pPr>
        <w:pStyle w:val="164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Лица, замеща</w:t>
      </w:r>
      <w:r>
        <w:rPr>
          <w:rFonts w:ascii="Times New Roman" w:hAnsi="Times New Roman" w:cs="Times New Roman"/>
          <w:sz w:val="28"/>
          <w:szCs w:val="28"/>
        </w:rPr>
        <w:t xml:space="preserve">ющие государственные должности </w:t>
      </w:r>
      <w:r>
        <w:rPr>
          <w:rFonts w:ascii="Times New Roman" w:hAnsi="Times New Roman" w:cs="Times New Roman"/>
          <w:sz w:val="28"/>
          <w:szCs w:val="28"/>
        </w:rPr>
        <w:t xml:space="preserve">обязаны в соответствии с настоящим Порядком уведомлять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комитета по культуре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  <w:r/>
    </w:p>
    <w:p>
      <w:pPr>
        <w:pStyle w:val="164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Лица, замещающие государственные должности, обязаны в соответствии с настоящим Порядком уведомлять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комитета по </w:t>
      </w:r>
      <w:r>
        <w:rPr>
          <w:rFonts w:ascii="Times New Roman" w:hAnsi="Times New Roman" w:cs="Times New Roman"/>
          <w:sz w:val="28"/>
          <w:szCs w:val="28"/>
        </w:rPr>
        <w:t xml:space="preserve">культуре </w:t>
      </w:r>
      <w:r>
        <w:rPr>
          <w:rFonts w:ascii="Times New Roman" w:hAnsi="Times New Roman" w:cs="Times New Roman"/>
          <w:sz w:val="28"/>
          <w:szCs w:val="28"/>
        </w:rPr>
        <w:t xml:space="preserve"> Курской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обо всех случаях получения ими подарка для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комитета по культуре 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164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hyperlink w:tooltip="Current Document" w:anchor="P120" w:history="1">
        <w:r>
          <w:rPr>
            <w:rFonts w:ascii="Times New Roman" w:hAnsi="Times New Roman" w:cs="Times New Roman"/>
            <w:sz w:val="28"/>
            <w:szCs w:val="28"/>
          </w:rPr>
          <w:t xml:space="preserve">Уведомление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составляется по форме согласно приложению N 1 к настоящему Порядку и представляется в срок не позднее 3 рабочих дней со дня получения подарка и (или) завершения официальных мероприятий (возвращения из служебной командировки лиц, замещ</w:t>
      </w:r>
      <w:r>
        <w:rPr>
          <w:rFonts w:ascii="Times New Roman" w:hAnsi="Times New Roman" w:cs="Times New Roman"/>
          <w:sz w:val="28"/>
          <w:szCs w:val="28"/>
        </w:rPr>
        <w:t xml:space="preserve">ающих государственные должности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/>
    </w:p>
    <w:p>
      <w:pPr>
        <w:pStyle w:val="164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невозможности подачи Уведомления в вышеуказанный срок по причине, не зависящей от лица, замещающего государственную должность, служащего, оно представляется не позднее следующего дня после ее устранения.</w:t>
      </w:r>
      <w:r/>
    </w:p>
    <w:p>
      <w:pPr>
        <w:pStyle w:val="164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sz w:val="28"/>
          <w:szCs w:val="28"/>
        </w:rPr>
        <w:t xml:space="preserve">правовой и кадровой политики комитета по </w:t>
      </w:r>
      <w:r>
        <w:rPr>
          <w:rFonts w:ascii="Times New Roman" w:hAnsi="Times New Roman" w:cs="Times New Roman"/>
          <w:sz w:val="28"/>
          <w:szCs w:val="28"/>
        </w:rPr>
        <w:t xml:space="preserve">культуре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Курской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ведет учет Уведомлений в </w:t>
      </w:r>
      <w:hyperlink w:tooltip="Current Document" w:anchor="P176" w:history="1">
        <w:r>
          <w:rPr>
            <w:rFonts w:ascii="Times New Roman" w:hAnsi="Times New Roman" w:cs="Times New Roman"/>
            <w:sz w:val="28"/>
            <w:szCs w:val="28"/>
          </w:rPr>
          <w:t xml:space="preserve">журнале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регистрации уведомлений о получении подарков (по форме согласно приложению N 2 к настоящему Порядку), который должен быть прошит и пронумерован, скреплен соответствующей печатью.</w:t>
      </w:r>
      <w:r/>
    </w:p>
    <w:p>
      <w:pPr>
        <w:pStyle w:val="164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/>
      <w:bookmarkStart w:id="1" w:name="P72"/>
      <w:r/>
      <w:bookmarkEnd w:id="1"/>
      <w:r>
        <w:rPr>
          <w:rFonts w:ascii="Times New Roman" w:hAnsi="Times New Roman" w:cs="Times New Roman"/>
          <w:sz w:val="28"/>
          <w:szCs w:val="28"/>
        </w:rPr>
        <w:t xml:space="preserve">7. Подарок, стоимость которого подтверждается документами и превышает 3 тыс. рублей либо стоимость которого получившим его служащим неизвестна, сдается материально ответственному лицу </w:t>
      </w:r>
      <w:r>
        <w:rPr>
          <w:rFonts w:ascii="Times New Roman" w:hAnsi="Times New Roman" w:cs="Times New Roman"/>
          <w:sz w:val="28"/>
          <w:szCs w:val="28"/>
        </w:rPr>
        <w:t xml:space="preserve">управления технического развития учреждений культуры 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комитета по культуре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области, которое принимает его на хранение по </w:t>
      </w:r>
      <w:hyperlink w:tooltip="Current Document" w:anchor="P252" w:history="1">
        <w:r>
          <w:rPr>
            <w:rFonts w:ascii="Times New Roman" w:hAnsi="Times New Roman" w:cs="Times New Roman"/>
            <w:sz w:val="28"/>
            <w:szCs w:val="28"/>
          </w:rPr>
          <w:t xml:space="preserve">акту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приема-передачи (приложение N 3 к настоящему Порядку) не позднее</w:t>
      </w:r>
      <w:r>
        <w:rPr>
          <w:rFonts w:ascii="Times New Roman" w:hAnsi="Times New Roman" w:cs="Times New Roman"/>
          <w:sz w:val="28"/>
          <w:szCs w:val="28"/>
        </w:rPr>
        <w:t xml:space="preserve"> 5 рабочих дней со дня регистрации Уведомления в соответствующем журнале регистрации. К акту приема-передачи приобщаются (при наличии) документы, подтверждающие стоимость подарка (кассовый чек, товарный чек, иной документ об оплате (приобретении) подарка).</w:t>
      </w:r>
      <w:r/>
    </w:p>
    <w:p>
      <w:pPr>
        <w:pStyle w:val="164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Акты приема-передачи подарков имеют тот же регистрационный номер, что и Уведомление в журнале регистрации уведомлений о получении подарка.</w:t>
      </w:r>
      <w:r/>
    </w:p>
    <w:p>
      <w:pPr>
        <w:pStyle w:val="164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Принятый на хранение подарок должен иметь инвентаризационную </w:t>
      </w:r>
      <w:hyperlink w:tooltip="Current Document" w:anchor="P309" w:history="1">
        <w:r>
          <w:rPr>
            <w:rFonts w:ascii="Times New Roman" w:hAnsi="Times New Roman" w:cs="Times New Roman"/>
            <w:sz w:val="28"/>
            <w:szCs w:val="28"/>
          </w:rPr>
          <w:t xml:space="preserve">карточку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подарка (приложение N 4 к настоящему Порядку), а также ярлык с указанием наименования подарка и номера акта приема-передачи подарков.</w:t>
      </w:r>
      <w:r/>
    </w:p>
    <w:p>
      <w:pPr>
        <w:pStyle w:val="164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Подарок, полученный лицом, замещающим государственную должность, независимо от его стоимости подлежит передаче на хранение в порядке, установленном </w:t>
      </w:r>
      <w:hyperlink w:tooltip="Current Document" w:anchor="P72" w:history="1">
        <w:r>
          <w:rPr>
            <w:rFonts w:ascii="Times New Roman" w:hAnsi="Times New Roman" w:cs="Times New Roman"/>
            <w:sz w:val="28"/>
            <w:szCs w:val="28"/>
          </w:rPr>
          <w:t xml:space="preserve">пунктом 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Порядка.</w:t>
      </w:r>
      <w:r/>
    </w:p>
    <w:p>
      <w:pPr>
        <w:pStyle w:val="164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До передачи подарка на хранение по акту приема-передачи ответственность в соответствии с законодательством Российской Федерации за утрату или его повреждение несет лицо, получившее подарок.</w:t>
      </w:r>
      <w:r/>
    </w:p>
    <w:p>
      <w:pPr>
        <w:pStyle w:val="164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Подарок, стоимость которого подтверждается прилагаемыми к нему документами и превышает 3 тыс. рублей, признается собственностью Курской области и учитывается на балансовых счетах в соответствии с законодательством о бухгалтерском учете.</w:t>
      </w:r>
      <w:r/>
    </w:p>
    <w:p>
      <w:pPr>
        <w:pStyle w:val="164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Подарок, стоимость которого подтверждается прилагаемыми к нему документами и не превышает 3 тыс. рублей, передаче на хранение в </w:t>
      </w:r>
      <w:r>
        <w:rPr>
          <w:rFonts w:ascii="Times New Roman" w:hAnsi="Times New Roman" w:cs="Times New Roman"/>
          <w:sz w:val="28"/>
          <w:szCs w:val="28"/>
        </w:rPr>
        <w:t xml:space="preserve">управление технического развития учреждений культуры комитета по культуре Курской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подлежит, за исключением случаев отказа лица, получившего подарок, от пользования подарком.</w:t>
      </w:r>
      <w:r/>
    </w:p>
    <w:p>
      <w:pPr>
        <w:pStyle w:val="164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В целях принятия к бухга</w:t>
      </w:r>
      <w:r>
        <w:rPr>
          <w:rFonts w:ascii="Times New Roman" w:hAnsi="Times New Roman" w:cs="Times New Roman"/>
          <w:sz w:val="28"/>
          <w:szCs w:val="28"/>
        </w:rPr>
        <w:t xml:space="preserve">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</w:t>
      </w:r>
      <w:r>
        <w:rPr>
          <w:rFonts w:ascii="Times New Roman" w:hAnsi="Times New Roman" w:cs="Times New Roman"/>
          <w:sz w:val="28"/>
          <w:szCs w:val="28"/>
        </w:rPr>
        <w:t xml:space="preserve">х условиях.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  <w:r/>
    </w:p>
    <w:p>
      <w:pPr>
        <w:pStyle w:val="164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 xml:space="preserve">Управление технического развития учреждений </w:t>
      </w:r>
      <w:r>
        <w:rPr>
          <w:rFonts w:ascii="Times New Roman" w:hAnsi="Times New Roman" w:cs="Times New Roman"/>
          <w:sz w:val="28"/>
          <w:szCs w:val="28"/>
        </w:rPr>
        <w:t xml:space="preserve">культуры </w:t>
      </w:r>
      <w:r>
        <w:rPr>
          <w:rFonts w:ascii="Times New Roman" w:hAnsi="Times New Roman" w:cs="Times New Roman"/>
          <w:sz w:val="28"/>
          <w:szCs w:val="28"/>
        </w:rPr>
        <w:t xml:space="preserve">Курской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 xml:space="preserve"> комитета по культуре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обеспечивает включение в установленном порядке принятого к бухгалтерскому учету подарка, стоимость которого превышает 3 тыс. рублей, в реестр имущества Курской области.</w:t>
      </w:r>
      <w:r/>
    </w:p>
    <w:p>
      <w:pPr>
        <w:pStyle w:val="164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13.1. В случае, если в отношении подарка, изготовленного из драгоценных металлов и (или) драгоценных камней, не поступило от лиц, замещающих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государственные</w:t>
      </w:r>
      <w:r>
        <w:rPr>
          <w:rFonts w:ascii="Times New Roman" w:hAnsi="Times New Roman" w:cs="Times New Roman"/>
          <w:sz w:val="28"/>
          <w:szCs w:val="28"/>
        </w:rPr>
        <w:t xml:space="preserve"> должности</w:t>
      </w:r>
      <w:r>
        <w:rPr>
          <w:rFonts w:ascii="Times New Roman" w:hAnsi="Times New Roman" w:cs="Times New Roman"/>
          <w:sz w:val="28"/>
          <w:szCs w:val="28"/>
        </w:rPr>
        <w:t xml:space="preserve"> комитета по культуре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заявление, указанное в </w:t>
      </w:r>
      <w:hyperlink w:tooltip="Current Document" w:anchor="P83" w:history="1">
        <w:r>
          <w:rPr>
            <w:rFonts w:ascii="Times New Roman" w:hAnsi="Times New Roman" w:cs="Times New Roman"/>
            <w:sz w:val="28"/>
            <w:szCs w:val="28"/>
          </w:rPr>
          <w:t xml:space="preserve">пункте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Порядка, либо в случае отказа указанных лиц от выкупа так</w:t>
      </w:r>
      <w:r>
        <w:rPr>
          <w:rFonts w:ascii="Times New Roman" w:hAnsi="Times New Roman" w:cs="Times New Roman"/>
          <w:sz w:val="28"/>
          <w:szCs w:val="28"/>
        </w:rPr>
        <w:t xml:space="preserve">ого подарка, подарок, изготовленный из драгоценных металлов и (или) драгоценных камней, подлежит передаче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</w:t>
      </w:r>
      <w:r>
        <w:rPr>
          <w:rFonts w:ascii="Times New Roman" w:hAnsi="Times New Roman" w:cs="Times New Roman"/>
          <w:sz w:val="28"/>
          <w:szCs w:val="28"/>
        </w:rPr>
        <w:t xml:space="preserve">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  <w:r/>
    </w:p>
    <w:p>
      <w:pPr>
        <w:pStyle w:val="164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/>
      <w:bookmarkStart w:id="2" w:name="P83"/>
      <w:r/>
      <w:bookmarkEnd w:id="2"/>
      <w:r>
        <w:rPr>
          <w:rFonts w:ascii="Times New Roman" w:hAnsi="Times New Roman" w:cs="Times New Roman"/>
          <w:sz w:val="28"/>
          <w:szCs w:val="28"/>
        </w:rPr>
        <w:t xml:space="preserve">14. Лица, сдавшие подарок, могут его выкупить, направив на имя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по культуре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соответствующее заявление не позднее 2 месяцев со дня сдачи подарка.</w:t>
      </w:r>
      <w:r/>
    </w:p>
    <w:p>
      <w:pPr>
        <w:pStyle w:val="164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>
        <w:rPr>
          <w:rFonts w:ascii="Times New Roman" w:hAnsi="Times New Roman" w:cs="Times New Roman"/>
          <w:sz w:val="28"/>
          <w:szCs w:val="28"/>
        </w:rPr>
        <w:t xml:space="preserve">Управление технического развития учреждений культуры </w:t>
      </w:r>
      <w:r>
        <w:rPr>
          <w:rFonts w:ascii="Times New Roman" w:hAnsi="Times New Roman" w:cs="Times New Roman"/>
          <w:sz w:val="28"/>
          <w:szCs w:val="28"/>
        </w:rPr>
        <w:t xml:space="preserve">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комитета по культуре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в течение 3 месяцев со дня поступления заявления, указанного в </w:t>
      </w:r>
      <w:hyperlink w:tooltip="Current Document" w:anchor="P83" w:history="1">
        <w:r>
          <w:rPr>
            <w:rFonts w:ascii="Times New Roman" w:hAnsi="Times New Roman" w:cs="Times New Roman"/>
            <w:sz w:val="28"/>
            <w:szCs w:val="28"/>
          </w:rPr>
          <w:t xml:space="preserve">пункте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организует оц</w:t>
      </w:r>
      <w:r>
        <w:rPr>
          <w:rFonts w:ascii="Times New Roman" w:hAnsi="Times New Roman" w:cs="Times New Roman"/>
          <w:sz w:val="28"/>
          <w:szCs w:val="28"/>
        </w:rPr>
        <w:t xml:space="preserve">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r/>
    </w:p>
    <w:p>
      <w:pPr>
        <w:pStyle w:val="164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/>
      <w:bookmarkStart w:id="3" w:name="P87"/>
      <w:r/>
      <w:bookmarkEnd w:id="3"/>
      <w:r>
        <w:rPr>
          <w:rFonts w:ascii="Times New Roman" w:hAnsi="Times New Roman" w:cs="Times New Roman"/>
          <w:sz w:val="28"/>
          <w:szCs w:val="28"/>
        </w:rPr>
        <w:t xml:space="preserve">16. Подарок, в отношении которого не поступило заявление, указанное в </w:t>
      </w:r>
      <w:hyperlink w:tooltip="Current Document" w:anchor="P83" w:history="1">
        <w:r>
          <w:rPr>
            <w:rFonts w:ascii="Times New Roman" w:hAnsi="Times New Roman" w:cs="Times New Roman"/>
            <w:sz w:val="28"/>
            <w:szCs w:val="28"/>
          </w:rPr>
          <w:t xml:space="preserve">пункте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может использоваться </w:t>
      </w:r>
      <w:r>
        <w:rPr>
          <w:rFonts w:ascii="Times New Roman" w:hAnsi="Times New Roman" w:cs="Times New Roman"/>
          <w:sz w:val="28"/>
          <w:szCs w:val="28"/>
        </w:rPr>
        <w:t xml:space="preserve">комитетом по культуре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 с учетом заключения комиссии, созданной </w:t>
      </w:r>
      <w:r>
        <w:rPr>
          <w:rFonts w:ascii="Times New Roman" w:hAnsi="Times New Roman" w:cs="Times New Roman"/>
          <w:sz w:val="28"/>
          <w:szCs w:val="28"/>
        </w:rPr>
        <w:t xml:space="preserve">комитетом по культуре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области, о целесообразности использования подарка для обеспечения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комитета по культуре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области, которое должно быть дано не позднее 15 рабочих дней со дня истечения срока, указанного в </w:t>
      </w:r>
      <w:hyperlink w:tooltip="Current Document" w:anchor="P83" w:history="1">
        <w:r>
          <w:rPr>
            <w:rFonts w:ascii="Times New Roman" w:hAnsi="Times New Roman" w:cs="Times New Roman"/>
            <w:sz w:val="28"/>
            <w:szCs w:val="28"/>
          </w:rPr>
          <w:t xml:space="preserve">пункте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r/>
    </w:p>
    <w:p>
      <w:pPr>
        <w:pStyle w:val="164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/>
      <w:bookmarkStart w:id="4" w:name="P88"/>
      <w:r/>
      <w:bookmarkEnd w:id="4"/>
      <w:r>
        <w:rPr>
          <w:rFonts w:ascii="Times New Roman" w:hAnsi="Times New Roman" w:cs="Times New Roman"/>
          <w:sz w:val="28"/>
          <w:szCs w:val="28"/>
        </w:rPr>
        <w:t xml:space="preserve">17. В случае нецелесообразности использования подарка </w:t>
      </w:r>
      <w:r>
        <w:rPr>
          <w:rFonts w:ascii="Times New Roman" w:hAnsi="Times New Roman" w:cs="Times New Roman"/>
          <w:sz w:val="28"/>
          <w:szCs w:val="28"/>
        </w:rPr>
        <w:t xml:space="preserve">председателем комитета по культуре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 в течение 20 рабочих дней со дня дачи заключения, указанного в </w:t>
      </w:r>
      <w:hyperlink w:tooltip="Current Document" w:anchor="P87" w:history="1">
        <w:r>
          <w:rPr>
            <w:rFonts w:ascii="Times New Roman" w:hAnsi="Times New Roman" w:cs="Times New Roman"/>
            <w:sz w:val="28"/>
            <w:szCs w:val="28"/>
          </w:rPr>
          <w:t xml:space="preserve">пункте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принимается решение о реализации подарка и пров</w:t>
      </w:r>
      <w:r>
        <w:rPr>
          <w:rFonts w:ascii="Times New Roman" w:hAnsi="Times New Roman" w:cs="Times New Roman"/>
          <w:sz w:val="28"/>
          <w:szCs w:val="28"/>
        </w:rPr>
        <w:t xml:space="preserve">едении оценки его стоимости для реализации (выкупа), осуществляемой уполномоченным государственным органом (организацией) посредством проведения торгов в порядке, предусмотренном законодательством Российской Федерации.</w:t>
      </w:r>
      <w:r/>
    </w:p>
    <w:p>
      <w:pPr>
        <w:pStyle w:val="164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Оценка стоимости подарка для реализации (выкупа) осуществляется субъектами оценочной деятельности в соответствии с законодательством Российской Федерации об оценочной деятельности.</w:t>
      </w:r>
      <w:r/>
    </w:p>
    <w:p>
      <w:pPr>
        <w:pStyle w:val="164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В случае если подарок не выкуплен или не реализован, </w:t>
      </w:r>
      <w:r>
        <w:rPr>
          <w:rFonts w:ascii="Times New Roman" w:hAnsi="Times New Roman" w:cs="Times New Roman"/>
          <w:sz w:val="28"/>
          <w:szCs w:val="28"/>
        </w:rPr>
        <w:t xml:space="preserve">председателем комитета по культуре </w:t>
      </w:r>
      <w:r>
        <w:rPr>
          <w:rFonts w:ascii="Times New Roman" w:hAnsi="Times New Roman" w:cs="Times New Roman"/>
          <w:sz w:val="28"/>
          <w:szCs w:val="28"/>
        </w:rPr>
        <w:t xml:space="preserve">Курской области в течение 20 рабочих дней со дня окончания торгов, указанных в </w:t>
      </w:r>
      <w:hyperlink w:tooltip="Current Document" w:anchor="P88" w:history="1">
        <w:r>
          <w:rPr>
            <w:rFonts w:ascii="Times New Roman" w:hAnsi="Times New Roman" w:cs="Times New Roman"/>
            <w:sz w:val="28"/>
            <w:szCs w:val="28"/>
          </w:rPr>
          <w:t xml:space="preserve">пункте 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астоящего Порядка,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  <w:r/>
    </w:p>
    <w:p>
      <w:pPr>
        <w:pStyle w:val="164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Средства, вырученные от реализации (выкупа) подарка, зачисляются в доход бюджета Курской области в порядке, установленном бюджетным законодательством Российской Федерации.</w:t>
      </w:r>
      <w:r/>
    </w:p>
    <w:p>
      <w:pPr>
        <w:pStyle w:val="1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64"/>
        <w:jc w:val="right"/>
        <w:rPr>
          <w:rFonts w:ascii="Times New Roman" w:hAnsi="Times New Roman" w:cs="Times New Roman"/>
          <w:szCs w:val="22"/>
        </w:rPr>
        <w:outlineLvl w:val="1"/>
      </w:pPr>
      <w:r>
        <w:rPr>
          <w:rFonts w:ascii="Times New Roman" w:hAnsi="Times New Roman" w:cs="Times New Roman"/>
          <w:szCs w:val="22"/>
        </w:rPr>
        <w:t xml:space="preserve">Приложение N 1</w:t>
      </w:r>
      <w:r/>
    </w:p>
    <w:p>
      <w:pPr>
        <w:pStyle w:val="164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к Порядку сообщения отдельными</w:t>
      </w:r>
      <w:r/>
    </w:p>
    <w:p>
      <w:pPr>
        <w:pStyle w:val="164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категориями лиц о получении подарка</w:t>
      </w:r>
      <w:r/>
    </w:p>
    <w:p>
      <w:pPr>
        <w:pStyle w:val="164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в связи с протокольными мероприятиями,</w:t>
      </w:r>
      <w:r/>
    </w:p>
    <w:p>
      <w:pPr>
        <w:pStyle w:val="164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служебными командировками и другими</w:t>
      </w:r>
      <w:r/>
    </w:p>
    <w:p>
      <w:pPr>
        <w:pStyle w:val="164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официальными мероприятиями, участие в</w:t>
      </w:r>
      <w:r/>
    </w:p>
    <w:p>
      <w:pPr>
        <w:pStyle w:val="164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которых связано с исполнением ими служебных</w:t>
      </w:r>
      <w:r/>
    </w:p>
    <w:p>
      <w:pPr>
        <w:pStyle w:val="164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(должностных) обязанностей, сдачи и оценки подарка,</w:t>
      </w:r>
      <w:r/>
    </w:p>
    <w:p>
      <w:pPr>
        <w:pStyle w:val="164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реализации (выкупа) и зачисления средств,</w:t>
      </w:r>
      <w:r/>
    </w:p>
    <w:p>
      <w:pPr>
        <w:pStyle w:val="164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вырученных от его реализации</w:t>
      </w:r>
      <w:r/>
    </w:p>
    <w:p>
      <w:pPr>
        <w:spacing w:after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1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Комитет по культуре Курской области</w:t>
      </w:r>
      <w:r/>
    </w:p>
    <w:p>
      <w:pPr>
        <w:pStyle w:val="1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______________________________</w:t>
      </w:r>
      <w:r/>
    </w:p>
    <w:p>
      <w:pPr>
        <w:pStyle w:val="1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</w:t>
      </w:r>
      <w:r/>
    </w:p>
    <w:p>
      <w:pPr>
        <w:pStyle w:val="16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(Ф.И.О., занимаемая должность)</w:t>
      </w:r>
      <w:r/>
    </w:p>
    <w:p>
      <w:pPr>
        <w:pStyle w:val="1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65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5" w:name="P120"/>
      <w:r/>
      <w:bookmarkEnd w:id="5"/>
      <w:r>
        <w:rPr>
          <w:rFonts w:ascii="Times New Roman" w:hAnsi="Times New Roman" w:cs="Times New Roman"/>
          <w:sz w:val="28"/>
          <w:szCs w:val="28"/>
        </w:rPr>
        <w:t xml:space="preserve">           Уведомление о получении подарка от "__" ________ 20__ г.</w:t>
      </w:r>
      <w:r/>
    </w:p>
    <w:p>
      <w:pPr>
        <w:pStyle w:val="1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Извещаю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получении _____________________________________________</w:t>
      </w:r>
      <w:r/>
    </w:p>
    <w:p>
      <w:pPr>
        <w:pStyle w:val="16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(дата получения)</w:t>
      </w:r>
      <w:r/>
    </w:p>
    <w:p>
      <w:pPr>
        <w:pStyle w:val="1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подарка(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</w:t>
      </w:r>
      <w:r/>
    </w:p>
    <w:p>
      <w:pPr>
        <w:pStyle w:val="16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(наименование протокольного мероприятия, служебной</w:t>
      </w:r>
      <w:bookmarkStart w:id="6" w:name="_GoBack"/>
      <w:r/>
      <w:bookmarkEnd w:id="6"/>
      <w:r/>
      <w:r/>
    </w:p>
    <w:p>
      <w:pPr>
        <w:pStyle w:val="16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командировки, другого</w:t>
      </w:r>
      <w:r/>
    </w:p>
    <w:p>
      <w:pPr>
        <w:pStyle w:val="1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</w:t>
      </w:r>
      <w:r/>
    </w:p>
    <w:p>
      <w:pPr>
        <w:pStyle w:val="16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официального мероприятия, место и дата проведения, указание дарителя)</w:t>
      </w:r>
      <w:r/>
    </w:p>
    <w:p>
      <w:pPr>
        <w:pStyle w:val="1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0" w:type="auto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720"/>
        <w:gridCol w:w="3715"/>
        <w:gridCol w:w="1834"/>
        <w:gridCol w:w="2899"/>
      </w:tblGrid>
      <w:tr>
        <w:trPr/>
        <w:tc>
          <w:tcPr>
            <w:tcW w:w="720" w:type="dxa"/>
            <w:textDirection w:val="lrTb"/>
            <w:noWrap w:val="false"/>
          </w:tcPr>
          <w:p>
            <w:pPr>
              <w:pStyle w:val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п/п</w:t>
            </w:r>
            <w:r/>
          </w:p>
        </w:tc>
        <w:tc>
          <w:tcPr>
            <w:tcW w:w="3715" w:type="dxa"/>
            <w:textDirection w:val="lrTb"/>
            <w:noWrap w:val="false"/>
          </w:tcPr>
          <w:p>
            <w:pPr>
              <w:pStyle w:val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подарка, его характеристика, описание</w:t>
            </w:r>
            <w:r/>
          </w:p>
        </w:tc>
        <w:tc>
          <w:tcPr>
            <w:tcW w:w="1834" w:type="dxa"/>
            <w:textDirection w:val="lrTb"/>
            <w:noWrap w:val="false"/>
          </w:tcPr>
          <w:p>
            <w:pPr>
              <w:pStyle w:val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предметов</w:t>
            </w:r>
            <w:r/>
          </w:p>
        </w:tc>
        <w:tc>
          <w:tcPr>
            <w:tcW w:w="2899" w:type="dxa"/>
            <w:textDirection w:val="lrTb"/>
            <w:noWrap w:val="false"/>
          </w:tcPr>
          <w:p>
            <w:pPr>
              <w:pStyle w:val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в рублях </w:t>
            </w:r>
            <w:r/>
          </w:p>
        </w:tc>
      </w:tr>
      <w:tr>
        <w:trPr/>
        <w:tc>
          <w:tcPr>
            <w:tcW w:w="720" w:type="dxa"/>
            <w:textDirection w:val="lrTb"/>
            <w:noWrap w:val="false"/>
          </w:tcPr>
          <w:p>
            <w:pPr>
              <w:pStyle w:val="16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715" w:type="dxa"/>
            <w:textDirection w:val="lrTb"/>
            <w:noWrap w:val="false"/>
          </w:tcPr>
          <w:p>
            <w:pPr>
              <w:pStyle w:val="16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834" w:type="dxa"/>
            <w:textDirection w:val="lrTb"/>
            <w:noWrap w:val="false"/>
          </w:tcPr>
          <w:p>
            <w:pPr>
              <w:pStyle w:val="16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99" w:type="dxa"/>
            <w:textDirection w:val="lrTb"/>
            <w:noWrap w:val="false"/>
          </w:tcPr>
          <w:p>
            <w:pPr>
              <w:pStyle w:val="16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720" w:type="dxa"/>
            <w:textDirection w:val="lrTb"/>
            <w:noWrap w:val="false"/>
          </w:tcPr>
          <w:p>
            <w:pPr>
              <w:pStyle w:val="16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715" w:type="dxa"/>
            <w:textDirection w:val="lrTb"/>
            <w:noWrap w:val="false"/>
          </w:tcPr>
          <w:p>
            <w:pPr>
              <w:pStyle w:val="16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834" w:type="dxa"/>
            <w:textDirection w:val="lrTb"/>
            <w:noWrap w:val="false"/>
          </w:tcPr>
          <w:p>
            <w:pPr>
              <w:pStyle w:val="16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899" w:type="dxa"/>
            <w:textDirection w:val="lrTb"/>
            <w:noWrap w:val="false"/>
          </w:tcPr>
          <w:p>
            <w:pPr>
              <w:pStyle w:val="16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pStyle w:val="1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_____________________________на _______________ листах.</w:t>
      </w:r>
      <w:r/>
    </w:p>
    <w:p>
      <w:pPr>
        <w:pStyle w:val="16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(наименование документа)</w:t>
      </w:r>
      <w:r/>
    </w:p>
    <w:p>
      <w:pPr>
        <w:pStyle w:val="1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Лицо, представившее</w:t>
      </w:r>
      <w:r/>
    </w:p>
    <w:p>
      <w:pPr>
        <w:pStyle w:val="1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___________________________ "____" ____________ 20___ г.</w:t>
      </w:r>
      <w:r/>
    </w:p>
    <w:p>
      <w:pPr>
        <w:pStyle w:val="16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</w:t>
      </w:r>
      <w:r>
        <w:rPr>
          <w:rFonts w:ascii="Times New Roman" w:hAnsi="Times New Roman" w:cs="Times New Roman"/>
          <w:sz w:val="22"/>
          <w:szCs w:val="22"/>
        </w:rPr>
        <w:t xml:space="preserve"> (подпись, расшифровка подписи)</w:t>
      </w:r>
      <w:r/>
    </w:p>
    <w:p>
      <w:pPr>
        <w:pStyle w:val="1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Лицо, принявшее</w:t>
      </w:r>
      <w:r/>
    </w:p>
    <w:p>
      <w:pPr>
        <w:pStyle w:val="1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___________________________ "____" ____________ 20___ г.</w:t>
      </w:r>
      <w:r/>
    </w:p>
    <w:p>
      <w:pPr>
        <w:pStyle w:val="16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(подпись, расшифровка подписи)</w:t>
      </w:r>
      <w:r/>
    </w:p>
    <w:p>
      <w:pPr>
        <w:pStyle w:val="1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Регистрационный номер в журнале регистрации уведомлений ___________________</w:t>
      </w:r>
      <w:r/>
    </w:p>
    <w:p>
      <w:pPr>
        <w:pStyle w:val="1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"____" ____________ 20___ г.</w:t>
      </w:r>
      <w:r/>
    </w:p>
    <w:p>
      <w:pPr>
        <w:pStyle w:val="164"/>
        <w:jc w:val="right"/>
        <w:rPr>
          <w:rFonts w:ascii="Times New Roman" w:hAnsi="Times New Roman" w:cs="Times New Roman"/>
          <w:szCs w:val="22"/>
        </w:rPr>
        <w:outlineLvl w:val="1"/>
      </w:pPr>
      <w:r/>
      <w:bookmarkStart w:id="7" w:name="P156"/>
      <w:r/>
      <w:bookmarkEnd w:id="7"/>
      <w:r>
        <w:rPr>
          <w:rFonts w:ascii="Times New Roman" w:hAnsi="Times New Roman" w:cs="Times New Roman"/>
          <w:szCs w:val="22"/>
        </w:rPr>
        <w:t xml:space="preserve">Приложение N 2</w:t>
      </w:r>
      <w:r/>
    </w:p>
    <w:p>
      <w:pPr>
        <w:pStyle w:val="164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к Порядку сообщения отдельными</w:t>
      </w:r>
      <w:r/>
    </w:p>
    <w:p>
      <w:pPr>
        <w:pStyle w:val="164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категориями лиц о получении подарка</w:t>
      </w:r>
      <w:r/>
    </w:p>
    <w:p>
      <w:pPr>
        <w:pStyle w:val="164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в связи с протокольными мероприятиями,</w:t>
      </w:r>
      <w:r/>
    </w:p>
    <w:p>
      <w:pPr>
        <w:pStyle w:val="164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служебными командировками и другими</w:t>
      </w:r>
      <w:r/>
    </w:p>
    <w:p>
      <w:pPr>
        <w:pStyle w:val="164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официальными мероприятиями, участие в</w:t>
      </w:r>
      <w:r/>
    </w:p>
    <w:p>
      <w:pPr>
        <w:pStyle w:val="164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которых связано с исполнением ими служебных</w:t>
      </w:r>
      <w:r/>
    </w:p>
    <w:p>
      <w:pPr>
        <w:pStyle w:val="164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(должностных) обязанностей, сдачи и оценки подарка,</w:t>
      </w:r>
      <w:r/>
    </w:p>
    <w:p>
      <w:pPr>
        <w:pStyle w:val="164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реализации (выкупа) и зачисления средств,</w:t>
      </w:r>
      <w:r/>
    </w:p>
    <w:p>
      <w:pPr>
        <w:pStyle w:val="164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вырученных от его реализации</w:t>
      </w:r>
      <w:r/>
    </w:p>
    <w:p>
      <w:pPr>
        <w:spacing w:after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64"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8" w:name="P176"/>
      <w:r/>
      <w:bookmarkEnd w:id="8"/>
      <w:r>
        <w:rPr>
          <w:rFonts w:ascii="Times New Roman" w:hAnsi="Times New Roman" w:cs="Times New Roman"/>
          <w:sz w:val="28"/>
          <w:szCs w:val="28"/>
        </w:rPr>
        <w:t xml:space="preserve">ЖУРНАЛ</w:t>
      </w:r>
      <w:r/>
    </w:p>
    <w:p>
      <w:pPr>
        <w:pStyle w:val="1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регистрации уведомлений о получении подарка</w:t>
      </w:r>
      <w:r/>
    </w:p>
    <w:p>
      <w:pPr>
        <w:pStyle w:val="1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орган </w:t>
      </w:r>
      <w:r>
        <w:rPr>
          <w:rFonts w:ascii="Times New Roman" w:hAnsi="Times New Roman" w:cs="Times New Roman"/>
          <w:sz w:val="28"/>
          <w:szCs w:val="28"/>
        </w:rPr>
        <w:t xml:space="preserve">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</w:t>
      </w:r>
      <w:r/>
    </w:p>
    <w:p>
      <w:pPr>
        <w:pStyle w:val="1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</w:rPr>
        <w:sectPr>
          <w:foot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0" w:type="auto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50"/>
        <w:gridCol w:w="737"/>
        <w:gridCol w:w="1755"/>
        <w:gridCol w:w="2160"/>
        <w:gridCol w:w="2041"/>
        <w:gridCol w:w="1417"/>
        <w:gridCol w:w="1644"/>
        <w:gridCol w:w="1531"/>
        <w:gridCol w:w="1417"/>
      </w:tblGrid>
      <w:tr>
        <w:trPr/>
        <w:tc>
          <w:tcPr>
            <w:gridSpan w:val="2"/>
            <w:tcW w:w="1687" w:type="dxa"/>
            <w:textDirection w:val="lrTb"/>
            <w:noWrap w:val="false"/>
          </w:tcPr>
          <w:p>
            <w:pPr>
              <w:pStyle w:val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</w:t>
            </w:r>
            <w:r/>
          </w:p>
        </w:tc>
        <w:tc>
          <w:tcPr>
            <w:tcW w:w="1755" w:type="dxa"/>
            <w:vMerge w:val="restart"/>
            <w:textDirection w:val="lrTb"/>
            <w:noWrap w:val="false"/>
          </w:tcPr>
          <w:p>
            <w:pPr>
              <w:pStyle w:val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отчество, замещаемая должность</w:t>
            </w:r>
            <w:r/>
          </w:p>
        </w:tc>
        <w:tc>
          <w:tcPr>
            <w:tcW w:w="2160" w:type="dxa"/>
            <w:vMerge w:val="restart"/>
            <w:textDirection w:val="lrTb"/>
            <w:noWrap w:val="false"/>
          </w:tcPr>
          <w:p>
            <w:pPr>
              <w:pStyle w:val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и обстоятельства дарения</w:t>
            </w:r>
            <w:r/>
          </w:p>
        </w:tc>
        <w:tc>
          <w:tcPr>
            <w:gridSpan w:val="4"/>
            <w:tcW w:w="6633" w:type="dxa"/>
            <w:textDirection w:val="lrTb"/>
            <w:noWrap w:val="false"/>
          </w:tcPr>
          <w:p>
            <w:pPr>
              <w:pStyle w:val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подарка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хранения</w:t>
            </w:r>
            <w:r/>
          </w:p>
          <w:p>
            <w:pPr>
              <w:pStyle w:val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w:tooltip="Current Document" w:anchor="P232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&lt;**&gt;</w:t>
              </w:r>
            </w:hyperlink>
            <w:r/>
            <w:r/>
          </w:p>
        </w:tc>
      </w:tr>
      <w:tr>
        <w:trPr/>
        <w:tc>
          <w:tcPr>
            <w:tcW w:w="950" w:type="dxa"/>
            <w:textDirection w:val="lrTb"/>
            <w:noWrap w:val="false"/>
          </w:tcPr>
          <w:p>
            <w:pPr>
              <w:pStyle w:val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</w:t>
            </w:r>
            <w:r/>
          </w:p>
        </w:tc>
        <w:tc>
          <w:tcPr>
            <w:tcW w:w="737" w:type="dxa"/>
            <w:textDirection w:val="lrTb"/>
            <w:noWrap w:val="false"/>
          </w:tcPr>
          <w:p>
            <w:pPr>
              <w:pStyle w:val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</w:t>
            </w:r>
            <w:r/>
          </w:p>
        </w:tc>
        <w:tc>
          <w:tcPr>
            <w:tcW w:w="175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16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</w:t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предметов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</w:t>
            </w:r>
            <w:r/>
          </w:p>
          <w:p>
            <w:pPr>
              <w:pStyle w:val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w:tooltip="Current Document" w:anchor="P231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&lt;*&gt;</w:t>
              </w:r>
            </w:hyperlink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950" w:type="dxa"/>
            <w:textDirection w:val="lrTb"/>
            <w:noWrap w:val="false"/>
          </w:tcPr>
          <w:p>
            <w:pPr>
              <w:pStyle w:val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/>
          </w:p>
        </w:tc>
        <w:tc>
          <w:tcPr>
            <w:tcW w:w="737" w:type="dxa"/>
            <w:textDirection w:val="lrTb"/>
            <w:noWrap w:val="false"/>
          </w:tcPr>
          <w:p>
            <w:pPr>
              <w:pStyle w:val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/>
          </w:p>
        </w:tc>
        <w:tc>
          <w:tcPr>
            <w:tcW w:w="1755" w:type="dxa"/>
            <w:textDirection w:val="lrTb"/>
            <w:noWrap w:val="false"/>
          </w:tcPr>
          <w:p>
            <w:pPr>
              <w:pStyle w:val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/>
          </w:p>
        </w:tc>
        <w:tc>
          <w:tcPr>
            <w:tcW w:w="2160" w:type="dxa"/>
            <w:textDirection w:val="lrTb"/>
            <w:noWrap w:val="false"/>
          </w:tcPr>
          <w:p>
            <w:pPr>
              <w:pStyle w:val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/>
          </w:p>
        </w:tc>
      </w:tr>
      <w:tr>
        <w:trPr/>
        <w:tc>
          <w:tcPr>
            <w:tcW w:w="950" w:type="dxa"/>
            <w:textDirection w:val="lrTb"/>
            <w:noWrap w:val="false"/>
          </w:tcPr>
          <w:p>
            <w:pPr>
              <w:pStyle w:val="16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737" w:type="dxa"/>
            <w:textDirection w:val="lrTb"/>
            <w:noWrap w:val="false"/>
          </w:tcPr>
          <w:p>
            <w:pPr>
              <w:pStyle w:val="16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755" w:type="dxa"/>
            <w:textDirection w:val="lrTb"/>
            <w:noWrap w:val="false"/>
          </w:tcPr>
          <w:p>
            <w:pPr>
              <w:pStyle w:val="16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160" w:type="dxa"/>
            <w:textDirection w:val="lrTb"/>
            <w:noWrap w:val="false"/>
          </w:tcPr>
          <w:p>
            <w:pPr>
              <w:pStyle w:val="16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6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6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950" w:type="dxa"/>
            <w:textDirection w:val="lrTb"/>
            <w:noWrap w:val="false"/>
          </w:tcPr>
          <w:p>
            <w:pPr>
              <w:pStyle w:val="16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737" w:type="dxa"/>
            <w:textDirection w:val="lrTb"/>
            <w:noWrap w:val="false"/>
          </w:tcPr>
          <w:p>
            <w:pPr>
              <w:pStyle w:val="16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755" w:type="dxa"/>
            <w:textDirection w:val="lrTb"/>
            <w:noWrap w:val="false"/>
          </w:tcPr>
          <w:p>
            <w:pPr>
              <w:pStyle w:val="16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160" w:type="dxa"/>
            <w:textDirection w:val="lrTb"/>
            <w:noWrap w:val="false"/>
          </w:tcPr>
          <w:p>
            <w:pPr>
              <w:pStyle w:val="16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6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6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6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6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этом журнале пронумеровано и прошнуровано</w:t>
      </w:r>
      <w:r/>
    </w:p>
    <w:p>
      <w:pPr>
        <w:pStyle w:val="1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(_______________) ___________________________ страниц.</w:t>
      </w:r>
      <w:r/>
    </w:p>
    <w:p>
      <w:pPr>
        <w:pStyle w:val="1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Должностное лицо _________________ _____________ __________________________</w:t>
      </w:r>
      <w:r/>
    </w:p>
    <w:p>
      <w:pPr>
        <w:pStyle w:val="1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(</w:t>
      </w:r>
      <w:r>
        <w:rPr>
          <w:rFonts w:ascii="Times New Roman" w:hAnsi="Times New Roman" w:cs="Times New Roman"/>
          <w:sz w:val="28"/>
          <w:szCs w:val="28"/>
        </w:rPr>
        <w:t xml:space="preserve">должность)   </w:t>
      </w:r>
      <w:r>
        <w:rPr>
          <w:rFonts w:ascii="Times New Roman" w:hAnsi="Times New Roman" w:cs="Times New Roman"/>
          <w:sz w:val="28"/>
          <w:szCs w:val="28"/>
        </w:rPr>
        <w:t xml:space="preserve">    (подпись)    (расшифровка подписи)</w:t>
      </w:r>
      <w:r/>
    </w:p>
    <w:p>
      <w:pPr>
        <w:pStyle w:val="1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М.П.</w:t>
      </w:r>
      <w:r/>
    </w:p>
    <w:p>
      <w:pPr>
        <w:pStyle w:val="1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"___" _________________ 20___ г.</w:t>
      </w:r>
      <w:r/>
    </w:p>
    <w:p>
      <w:pPr>
        <w:pStyle w:val="1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--------------------------------</w:t>
      </w:r>
      <w:r/>
    </w:p>
    <w:p>
      <w:pPr>
        <w:pStyle w:val="164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&lt;*&gt; Графа 8 заполняется при наличии документов, подтверждающих стоимость подарка.</w:t>
      </w:r>
      <w:r/>
    </w:p>
    <w:p>
      <w:pPr>
        <w:pStyle w:val="164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&lt;**&gt; Графа 9 заполняется при принятии подарка на ответственное хранение.</w:t>
      </w:r>
      <w:r/>
    </w:p>
    <w:p>
      <w:pPr>
        <w:tabs>
          <w:tab w:val="left" w:pos="2670" w:leader="none"/>
        </w:tabs>
        <w:rPr>
          <w:rFonts w:ascii="Times New Roman" w:hAnsi="Times New Roman" w:cs="Times New Roman"/>
          <w:sz w:val="28"/>
          <w:szCs w:val="28"/>
        </w:rPr>
        <w:sectPr>
          <w:footnotePr/>
          <w:type w:val="nextPage"/>
          <w:pgSz w:w="16838" w:h="11905" w:orient="landscape"/>
          <w:pgMar w:top="1701" w:right="1134" w:bottom="850" w:left="1134" w:header="0" w:footer="0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64"/>
        <w:jc w:val="right"/>
        <w:rPr>
          <w:rFonts w:ascii="Times New Roman" w:hAnsi="Times New Roman" w:cs="Times New Roman"/>
          <w:szCs w:val="22"/>
        </w:rPr>
        <w:outlineLvl w:val="1"/>
      </w:pPr>
      <w:r>
        <w:rPr>
          <w:rFonts w:ascii="Times New Roman" w:hAnsi="Times New Roman" w:cs="Times New Roman"/>
          <w:szCs w:val="22"/>
        </w:rPr>
        <w:t xml:space="preserve">Приложение N 3</w:t>
      </w:r>
      <w:r/>
    </w:p>
    <w:p>
      <w:pPr>
        <w:pStyle w:val="164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к Порядку сообщения отдельными</w:t>
      </w:r>
      <w:r/>
    </w:p>
    <w:p>
      <w:pPr>
        <w:pStyle w:val="164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категориями лиц о получении подарка</w:t>
      </w:r>
      <w:r/>
    </w:p>
    <w:p>
      <w:pPr>
        <w:pStyle w:val="164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в связи с протокольными мероприятиями,</w:t>
      </w:r>
      <w:r/>
    </w:p>
    <w:p>
      <w:pPr>
        <w:pStyle w:val="164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служебными командировками и другими</w:t>
      </w:r>
      <w:r/>
    </w:p>
    <w:p>
      <w:pPr>
        <w:pStyle w:val="164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официальными мероприятиями, участие в</w:t>
      </w:r>
      <w:r/>
    </w:p>
    <w:p>
      <w:pPr>
        <w:pStyle w:val="164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которых связано с исполнением ими служебных</w:t>
      </w:r>
      <w:r/>
    </w:p>
    <w:p>
      <w:pPr>
        <w:pStyle w:val="164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(должностных) обязанностей, сдачи и оценки подарка,</w:t>
      </w:r>
      <w:r/>
    </w:p>
    <w:p>
      <w:pPr>
        <w:pStyle w:val="164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реализации (выкупа) и зачисления средств,</w:t>
      </w:r>
      <w:r/>
    </w:p>
    <w:p>
      <w:pPr>
        <w:pStyle w:val="164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вырученных от его реализации</w:t>
      </w:r>
      <w:r/>
    </w:p>
    <w:p>
      <w:pPr>
        <w:spacing w:after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64"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9" w:name="P252"/>
      <w:r/>
      <w:bookmarkEnd w:id="9"/>
      <w:r>
        <w:rPr>
          <w:rFonts w:ascii="Times New Roman" w:hAnsi="Times New Roman" w:cs="Times New Roman"/>
          <w:sz w:val="28"/>
          <w:szCs w:val="28"/>
        </w:rPr>
        <w:t xml:space="preserve">Акт приема-передачи подарков N ________</w:t>
      </w:r>
      <w:r/>
    </w:p>
    <w:p>
      <w:pPr>
        <w:pStyle w:val="1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"____" ___________ 20___ г.</w:t>
      </w:r>
      <w:r/>
    </w:p>
    <w:p>
      <w:pPr>
        <w:pStyle w:val="1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</w:t>
      </w:r>
      <w:r/>
    </w:p>
    <w:p>
      <w:pPr>
        <w:pStyle w:val="16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(наименование государственного органа, материально ответственное лицо)</w:t>
      </w:r>
      <w:r/>
    </w:p>
    <w:p>
      <w:pPr>
        <w:pStyle w:val="1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</w:t>
      </w:r>
      <w:r/>
    </w:p>
    <w:p>
      <w:pPr>
        <w:pStyle w:val="1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Мы, нижеподписавшиеся, составили настоящий акт о том, что</w:t>
      </w:r>
      <w:r/>
    </w:p>
    <w:p>
      <w:pPr>
        <w:pStyle w:val="1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</w:t>
      </w:r>
      <w:r/>
    </w:p>
    <w:p>
      <w:pPr>
        <w:pStyle w:val="16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(</w:t>
      </w:r>
      <w:r>
        <w:rPr>
          <w:rFonts w:ascii="Times New Roman" w:hAnsi="Times New Roman" w:cs="Times New Roman"/>
          <w:sz w:val="22"/>
          <w:szCs w:val="22"/>
        </w:rPr>
        <w:t xml:space="preserve">ф.и.о.</w:t>
      </w:r>
      <w:r>
        <w:rPr>
          <w:rFonts w:ascii="Times New Roman" w:hAnsi="Times New Roman" w:cs="Times New Roman"/>
          <w:sz w:val="22"/>
          <w:szCs w:val="22"/>
        </w:rPr>
        <w:t xml:space="preserve">)</w:t>
      </w:r>
      <w:r/>
    </w:p>
    <w:p>
      <w:pPr>
        <w:pStyle w:val="1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</w:t>
      </w:r>
      <w:r/>
    </w:p>
    <w:p>
      <w:pPr>
        <w:pStyle w:val="16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(замещаемая должность)</w:t>
      </w:r>
      <w:r/>
    </w:p>
    <w:p>
      <w:pPr>
        <w:pStyle w:val="1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сдал (принял) ______________________________________________________</w:t>
      </w:r>
      <w:r/>
    </w:p>
    <w:p>
      <w:pPr>
        <w:pStyle w:val="16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(</w:t>
      </w:r>
      <w:r>
        <w:rPr>
          <w:rFonts w:ascii="Times New Roman" w:hAnsi="Times New Roman" w:cs="Times New Roman"/>
          <w:sz w:val="22"/>
          <w:szCs w:val="22"/>
        </w:rPr>
        <w:t xml:space="preserve">ф.и.о.</w:t>
      </w:r>
      <w:r>
        <w:rPr>
          <w:rFonts w:ascii="Times New Roman" w:hAnsi="Times New Roman" w:cs="Times New Roman"/>
          <w:sz w:val="22"/>
          <w:szCs w:val="22"/>
        </w:rPr>
        <w:t xml:space="preserve"> ответственного лица)</w:t>
      </w:r>
      <w:r/>
    </w:p>
    <w:p>
      <w:pPr>
        <w:pStyle w:val="1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</w:t>
      </w:r>
      <w:r/>
    </w:p>
    <w:p>
      <w:pPr>
        <w:pStyle w:val="16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(замещаемая должность)</w:t>
      </w:r>
      <w:r/>
    </w:p>
    <w:p>
      <w:pPr>
        <w:pStyle w:val="1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принял (передал) подарок (подарки):</w:t>
      </w:r>
      <w:r/>
    </w:p>
    <w:p>
      <w:pPr>
        <w:pStyle w:val="1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0" w:type="auto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86"/>
        <w:gridCol w:w="4224"/>
        <w:gridCol w:w="2179"/>
        <w:gridCol w:w="2006"/>
      </w:tblGrid>
      <w:tr>
        <w:trPr/>
        <w:tc>
          <w:tcPr>
            <w:tcW w:w="586" w:type="dxa"/>
            <w:textDirection w:val="lrTb"/>
            <w:noWrap w:val="false"/>
          </w:tcPr>
          <w:p>
            <w:pPr>
              <w:pStyle w:val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п/п</w:t>
            </w:r>
            <w:r/>
          </w:p>
        </w:tc>
        <w:tc>
          <w:tcPr>
            <w:tcW w:w="4224" w:type="dxa"/>
            <w:textDirection w:val="lrTb"/>
            <w:noWrap w:val="false"/>
          </w:tcPr>
          <w:p>
            <w:pPr>
              <w:pStyle w:val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подарка, его характеристика, описание</w:t>
            </w:r>
            <w:r/>
          </w:p>
        </w:tc>
        <w:tc>
          <w:tcPr>
            <w:tcW w:w="2179" w:type="dxa"/>
            <w:textDirection w:val="lrTb"/>
            <w:noWrap w:val="false"/>
          </w:tcPr>
          <w:p>
            <w:pPr>
              <w:pStyle w:val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предметов</w:t>
            </w:r>
            <w:r/>
          </w:p>
        </w:tc>
        <w:tc>
          <w:tcPr>
            <w:tcW w:w="2006" w:type="dxa"/>
            <w:textDirection w:val="lrTb"/>
            <w:noWrap w:val="false"/>
          </w:tcPr>
          <w:p>
            <w:pPr>
              <w:pStyle w:val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в рублях </w:t>
            </w:r>
            <w:hyperlink w:tooltip="Current Document" w:anchor="P289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&lt;*&gt;</w:t>
              </w:r>
            </w:hyperlink>
            <w:r/>
            <w:r/>
          </w:p>
        </w:tc>
      </w:tr>
      <w:tr>
        <w:trPr/>
        <w:tc>
          <w:tcPr>
            <w:tcW w:w="586" w:type="dxa"/>
            <w:textDirection w:val="lrTb"/>
            <w:noWrap w:val="false"/>
          </w:tcPr>
          <w:p>
            <w:pPr>
              <w:pStyle w:val="16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224" w:type="dxa"/>
            <w:textDirection w:val="lrTb"/>
            <w:noWrap w:val="false"/>
          </w:tcPr>
          <w:p>
            <w:pPr>
              <w:pStyle w:val="16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179" w:type="dxa"/>
            <w:textDirection w:val="lrTb"/>
            <w:noWrap w:val="false"/>
          </w:tcPr>
          <w:p>
            <w:pPr>
              <w:pStyle w:val="16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006" w:type="dxa"/>
            <w:textDirection w:val="lrTb"/>
            <w:noWrap w:val="false"/>
          </w:tcPr>
          <w:p>
            <w:pPr>
              <w:pStyle w:val="16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pStyle w:val="1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Принял (</w:t>
      </w:r>
      <w:r>
        <w:rPr>
          <w:rFonts w:ascii="Times New Roman" w:hAnsi="Times New Roman" w:cs="Times New Roman"/>
          <w:sz w:val="28"/>
          <w:szCs w:val="28"/>
        </w:rPr>
        <w:t xml:space="preserve">передал)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Сдал (принял)</w:t>
      </w:r>
      <w:r/>
    </w:p>
    <w:p>
      <w:pPr>
        <w:pStyle w:val="1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</w:t>
      </w:r>
      <w:r>
        <w:rPr>
          <w:rFonts w:ascii="Times New Roman" w:hAnsi="Times New Roman" w:cs="Times New Roman"/>
          <w:sz w:val="28"/>
          <w:szCs w:val="28"/>
        </w:rPr>
        <w:t xml:space="preserve">________ _________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____________ ______________</w:t>
      </w:r>
      <w:r/>
    </w:p>
    <w:p>
      <w:pPr>
        <w:pStyle w:val="16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(</w:t>
      </w:r>
      <w:r>
        <w:rPr>
          <w:rFonts w:ascii="Times New Roman" w:hAnsi="Times New Roman" w:cs="Times New Roman"/>
          <w:sz w:val="22"/>
          <w:szCs w:val="22"/>
        </w:rPr>
        <w:t xml:space="preserve">подпись)  (</w:t>
      </w:r>
      <w:r>
        <w:rPr>
          <w:rFonts w:ascii="Times New Roman" w:hAnsi="Times New Roman" w:cs="Times New Roman"/>
          <w:sz w:val="22"/>
          <w:szCs w:val="22"/>
        </w:rPr>
        <w:t xml:space="preserve">расшифровка подписи)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(подпись)  (расшифровка подписи)</w:t>
      </w:r>
      <w:r/>
    </w:p>
    <w:p>
      <w:pPr>
        <w:pStyle w:val="1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Принято к учету ___________________________________________________________</w:t>
      </w:r>
      <w:r/>
    </w:p>
    <w:p>
      <w:pPr>
        <w:pStyle w:val="165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(наименование структурного подразделения государственного органа)</w:t>
      </w:r>
      <w:r/>
    </w:p>
    <w:p>
      <w:pPr>
        <w:pStyle w:val="1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64"/>
        <w:ind w:firstLine="540"/>
        <w:jc w:val="both"/>
        <w:spacing w:before="220"/>
        <w:rPr>
          <w:rFonts w:ascii="Times New Roman" w:hAnsi="Times New Roman" w:cs="Times New Roman"/>
          <w:szCs w:val="22"/>
        </w:rPr>
      </w:pPr>
      <w:r/>
      <w:bookmarkStart w:id="10" w:name="P289"/>
      <w:r/>
      <w:bookmarkEnd w:id="10"/>
      <w:r>
        <w:rPr>
          <w:rFonts w:ascii="Times New Roman" w:hAnsi="Times New Roman" w:cs="Times New Roman"/>
          <w:szCs w:val="22"/>
        </w:rPr>
        <w:t xml:space="preserve">&lt;*&gt; Заполняется при наличии документов, подтверждающих стоимость предметов.</w:t>
      </w:r>
      <w:r/>
    </w:p>
    <w:p>
      <w:pPr>
        <w:pStyle w:val="1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64"/>
        <w:jc w:val="right"/>
        <w:rPr>
          <w:rFonts w:ascii="Times New Roman" w:hAnsi="Times New Roman" w:cs="Times New Roman"/>
          <w:szCs w:val="22"/>
        </w:rPr>
        <w:outlineLvl w:val="1"/>
      </w:pPr>
      <w:r>
        <w:rPr>
          <w:rFonts w:ascii="Times New Roman" w:hAnsi="Times New Roman" w:cs="Times New Roman"/>
          <w:szCs w:val="22"/>
        </w:rPr>
        <w:t xml:space="preserve">Приложение N 4</w:t>
      </w:r>
      <w:r/>
    </w:p>
    <w:p>
      <w:pPr>
        <w:pStyle w:val="164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к Порядку сообщения отдельными</w:t>
      </w:r>
      <w:r/>
    </w:p>
    <w:p>
      <w:pPr>
        <w:pStyle w:val="164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категориями лиц о получении подарка</w:t>
      </w:r>
      <w:r/>
    </w:p>
    <w:p>
      <w:pPr>
        <w:pStyle w:val="164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в связи с протокольными мероприятиями,</w:t>
      </w:r>
      <w:r/>
    </w:p>
    <w:p>
      <w:pPr>
        <w:pStyle w:val="164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служебными командировками и другими</w:t>
      </w:r>
      <w:r/>
    </w:p>
    <w:p>
      <w:pPr>
        <w:pStyle w:val="164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официальными мероприятиями, участие в</w:t>
      </w:r>
      <w:r/>
    </w:p>
    <w:p>
      <w:pPr>
        <w:pStyle w:val="164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которых связано с исполнением ими служебных</w:t>
      </w:r>
      <w:r/>
    </w:p>
    <w:p>
      <w:pPr>
        <w:pStyle w:val="164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(должностных) обязанностей, сдачи и оценки подарка,</w:t>
      </w:r>
      <w:r/>
    </w:p>
    <w:p>
      <w:pPr>
        <w:pStyle w:val="164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реализации (выкупа) и зачисления средств,</w:t>
      </w:r>
      <w:r/>
    </w:p>
    <w:p>
      <w:pPr>
        <w:pStyle w:val="16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2"/>
        </w:rPr>
        <w:t xml:space="preserve">вырученных от его реализации</w:t>
      </w:r>
      <w:r/>
    </w:p>
    <w:p>
      <w:pPr>
        <w:spacing w:after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6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64"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11" w:name="P309"/>
      <w:r/>
      <w:bookmarkEnd w:id="11"/>
      <w:r>
        <w:rPr>
          <w:rFonts w:ascii="Times New Roman" w:hAnsi="Times New Roman" w:cs="Times New Roman"/>
          <w:sz w:val="28"/>
          <w:szCs w:val="28"/>
        </w:rPr>
        <w:t xml:space="preserve">Инвентаризационная карточка подарка N ______</w:t>
      </w:r>
      <w:r/>
    </w:p>
    <w:p>
      <w:pPr>
        <w:pStyle w:val="1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подарка ______________________________________________</w:t>
      </w:r>
      <w:r/>
    </w:p>
    <w:p>
      <w:pPr>
        <w:pStyle w:val="1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 подарка _______________________________________________________</w:t>
      </w:r>
      <w:r/>
    </w:p>
    <w:p>
      <w:pPr>
        <w:pStyle w:val="1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Стоимость _________________________________________________________</w:t>
      </w:r>
      <w:r/>
    </w:p>
    <w:p>
      <w:pPr>
        <w:pStyle w:val="1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и номер акта приема-передачи подарков ___________________________</w:t>
      </w:r>
      <w:r/>
    </w:p>
    <w:p>
      <w:pPr>
        <w:pStyle w:val="1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Сдал (</w:t>
      </w:r>
      <w:r>
        <w:rPr>
          <w:rFonts w:ascii="Times New Roman" w:hAnsi="Times New Roman" w:cs="Times New Roman"/>
          <w:sz w:val="28"/>
          <w:szCs w:val="28"/>
        </w:rPr>
        <w:t xml:space="preserve">ф.и.о.</w:t>
      </w:r>
      <w:r>
        <w:rPr>
          <w:rFonts w:ascii="Times New Roman" w:hAnsi="Times New Roman" w:cs="Times New Roman"/>
          <w:sz w:val="28"/>
          <w:szCs w:val="28"/>
        </w:rPr>
        <w:t xml:space="preserve">, должность) _____________________________________________</w:t>
      </w:r>
      <w:r/>
    </w:p>
    <w:p>
      <w:pPr>
        <w:pStyle w:val="1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Принял (</w:t>
      </w:r>
      <w:r>
        <w:rPr>
          <w:rFonts w:ascii="Times New Roman" w:hAnsi="Times New Roman" w:cs="Times New Roman"/>
          <w:sz w:val="28"/>
          <w:szCs w:val="28"/>
        </w:rPr>
        <w:t xml:space="preserve">ф.и.о.</w:t>
      </w:r>
      <w:r>
        <w:rPr>
          <w:rFonts w:ascii="Times New Roman" w:hAnsi="Times New Roman" w:cs="Times New Roman"/>
          <w:sz w:val="28"/>
          <w:szCs w:val="28"/>
        </w:rPr>
        <w:t xml:space="preserve">, должность) __________________________________________</w:t>
      </w:r>
      <w:r/>
    </w:p>
    <w:p>
      <w:pPr>
        <w:pStyle w:val="1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хранения ____________________________________________________</w:t>
      </w:r>
      <w:r/>
    </w:p>
    <w:p>
      <w:pPr>
        <w:pStyle w:val="1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1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Прилагаемые документы:</w:t>
      </w:r>
      <w:r/>
    </w:p>
    <w:p>
      <w:pPr>
        <w:pStyle w:val="1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</w:t>
      </w:r>
      <w:r/>
    </w:p>
    <w:p>
      <w:pPr>
        <w:pStyle w:val="1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___________________________________________________________</w:t>
      </w:r>
      <w:r/>
    </w:p>
    <w:p>
      <w:pPr>
        <w:pStyle w:val="1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</w:t>
      </w:r>
      <w:r>
        <w:rPr>
          <w:rFonts w:ascii="Times New Roman" w:hAnsi="Times New Roman" w:cs="Times New Roman"/>
          <w:sz w:val="28"/>
          <w:szCs w:val="28"/>
        </w:rPr>
        <w:t xml:space="preserve">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</w:t>
      </w:r>
      <w:r/>
    </w:p>
    <w:p>
      <w:pPr>
        <w:pStyle w:val="164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type w:val="nextPage"/>
      <w:pgSz w:w="11905" w:h="16838" w:orient="portrait"/>
      <w:pgMar w:top="1134" w:right="850" w:bottom="1134" w:left="1701" w:header="0" w:footer="0" w:gutter="0"/>
      <w:cols w:num="1" w:sep="0" w:space="720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firstLine="0"/>
        <w:jc w:val="left"/>
        <w:spacing w:lineRule="auto" w:line="259" w:after="16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160"/>
    <w:next w:val="160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161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160"/>
    <w:next w:val="160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161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160"/>
    <w:next w:val="160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161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160"/>
    <w:next w:val="160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161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160"/>
    <w:next w:val="160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161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160"/>
    <w:next w:val="160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161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160"/>
    <w:next w:val="160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161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160"/>
    <w:next w:val="160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161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160"/>
    <w:next w:val="160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161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160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160"/>
    <w:next w:val="160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161"/>
    <w:link w:val="32"/>
    <w:uiPriority w:val="10"/>
    <w:rPr>
      <w:sz w:val="48"/>
      <w:szCs w:val="48"/>
    </w:rPr>
  </w:style>
  <w:style w:type="paragraph" w:styleId="34">
    <w:name w:val="Subtitle"/>
    <w:basedOn w:val="160"/>
    <w:next w:val="160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161"/>
    <w:link w:val="34"/>
    <w:uiPriority w:val="11"/>
    <w:rPr>
      <w:sz w:val="24"/>
      <w:szCs w:val="24"/>
    </w:rPr>
  </w:style>
  <w:style w:type="paragraph" w:styleId="36">
    <w:name w:val="Quote"/>
    <w:basedOn w:val="160"/>
    <w:next w:val="160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160"/>
    <w:next w:val="160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160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161"/>
    <w:link w:val="40"/>
    <w:uiPriority w:val="99"/>
  </w:style>
  <w:style w:type="paragraph" w:styleId="42">
    <w:name w:val="Footer"/>
    <w:basedOn w:val="160"/>
    <w:link w:val="4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161"/>
    <w:link w:val="42"/>
    <w:uiPriority w:val="99"/>
  </w:style>
  <w:style w:type="table" w:styleId="44">
    <w:name w:val="Table Grid"/>
    <w:basedOn w:val="162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5">
    <w:name w:val="Lined"/>
    <w:basedOn w:val="1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6">
    <w:name w:val="Lined - Accent 1"/>
    <w:basedOn w:val="1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7">
    <w:name w:val="Lined - Accent 2"/>
    <w:basedOn w:val="1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8">
    <w:name w:val="Lined - Accent 3"/>
    <w:basedOn w:val="1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9">
    <w:name w:val="Lined - Accent 4"/>
    <w:basedOn w:val="1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0">
    <w:name w:val="Lined - Accent 5"/>
    <w:basedOn w:val="1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1">
    <w:name w:val="Lined - Accent 6"/>
    <w:basedOn w:val="1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52">
    <w:name w:val="Bordered"/>
    <w:basedOn w:val="1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53">
    <w:name w:val="Bordered - Accent 1"/>
    <w:basedOn w:val="1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54">
    <w:name w:val="Bordered - Accent 2"/>
    <w:basedOn w:val="1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55">
    <w:name w:val="Bordered - Accent 3"/>
    <w:basedOn w:val="1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6">
    <w:name w:val="Bordered - Accent 4"/>
    <w:basedOn w:val="1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7">
    <w:name w:val="Bordered - Accent 5"/>
    <w:basedOn w:val="1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8">
    <w:name w:val="Bordered - Accent 6"/>
    <w:basedOn w:val="1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9">
    <w:name w:val="Bordered &amp; Lined"/>
    <w:basedOn w:val="1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60">
    <w:name w:val="Bordered &amp; Lined - Accent 1"/>
    <w:basedOn w:val="1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61">
    <w:name w:val="Bordered &amp; Lined - Accent 2"/>
    <w:basedOn w:val="1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62">
    <w:name w:val="Bordered &amp; Lined - Accent 3"/>
    <w:basedOn w:val="1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63">
    <w:name w:val="Bordered &amp; Lined - Accent 4"/>
    <w:basedOn w:val="1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64">
    <w:name w:val="Bordered &amp; Lined - Accent 5"/>
    <w:basedOn w:val="1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65">
    <w:name w:val="Bordered &amp; Lined - Accent 6"/>
    <w:basedOn w:val="1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6">
    <w:name w:val="Hyperlink"/>
    <w:uiPriority w:val="99"/>
    <w:unhideWhenUsed/>
    <w:rPr>
      <w:color w:val="0000FF" w:themeColor="hyperlink"/>
      <w:u w:val="single"/>
    </w:rPr>
  </w:style>
  <w:style w:type="paragraph" w:styleId="67">
    <w:name w:val="footnote text"/>
    <w:basedOn w:val="160"/>
    <w:link w:val="68"/>
    <w:uiPriority w:val="99"/>
    <w:semiHidden/>
    <w:unhideWhenUsed/>
    <w:rPr>
      <w:sz w:val="18"/>
    </w:rPr>
    <w:pPr>
      <w:spacing w:lineRule="auto" w:line="240" w:after="40"/>
    </w:pPr>
  </w:style>
  <w:style w:type="character" w:styleId="68">
    <w:name w:val="Footnote Text Char"/>
    <w:link w:val="67"/>
    <w:uiPriority w:val="99"/>
    <w:rPr>
      <w:sz w:val="18"/>
    </w:rPr>
  </w:style>
  <w:style w:type="character" w:styleId="69">
    <w:name w:val="footnote reference"/>
    <w:basedOn w:val="161"/>
    <w:uiPriority w:val="99"/>
    <w:unhideWhenUsed/>
    <w:rPr>
      <w:vertAlign w:val="superscript"/>
    </w:rPr>
  </w:style>
  <w:style w:type="paragraph" w:styleId="70">
    <w:name w:val="toc 1"/>
    <w:basedOn w:val="160"/>
    <w:next w:val="160"/>
    <w:uiPriority w:val="39"/>
    <w:unhideWhenUsed/>
    <w:pPr>
      <w:ind w:left="0" w:right="0" w:firstLine="0"/>
      <w:spacing w:after="57"/>
    </w:pPr>
  </w:style>
  <w:style w:type="paragraph" w:styleId="71">
    <w:name w:val="toc 2"/>
    <w:basedOn w:val="160"/>
    <w:next w:val="160"/>
    <w:uiPriority w:val="39"/>
    <w:unhideWhenUsed/>
    <w:pPr>
      <w:ind w:left="283" w:right="0" w:firstLine="0"/>
      <w:spacing w:after="57"/>
    </w:pPr>
  </w:style>
  <w:style w:type="paragraph" w:styleId="72">
    <w:name w:val="toc 3"/>
    <w:basedOn w:val="160"/>
    <w:next w:val="160"/>
    <w:uiPriority w:val="39"/>
    <w:unhideWhenUsed/>
    <w:pPr>
      <w:ind w:left="567" w:right="0" w:firstLine="0"/>
      <w:spacing w:after="57"/>
    </w:pPr>
  </w:style>
  <w:style w:type="paragraph" w:styleId="73">
    <w:name w:val="toc 4"/>
    <w:basedOn w:val="160"/>
    <w:next w:val="160"/>
    <w:uiPriority w:val="39"/>
    <w:unhideWhenUsed/>
    <w:pPr>
      <w:ind w:left="850" w:right="0" w:firstLine="0"/>
      <w:spacing w:after="57"/>
    </w:pPr>
  </w:style>
  <w:style w:type="paragraph" w:styleId="74">
    <w:name w:val="toc 5"/>
    <w:basedOn w:val="160"/>
    <w:next w:val="160"/>
    <w:uiPriority w:val="39"/>
    <w:unhideWhenUsed/>
    <w:pPr>
      <w:ind w:left="1134" w:right="0" w:firstLine="0"/>
      <w:spacing w:after="57"/>
    </w:pPr>
  </w:style>
  <w:style w:type="paragraph" w:styleId="75">
    <w:name w:val="toc 6"/>
    <w:basedOn w:val="160"/>
    <w:next w:val="160"/>
    <w:uiPriority w:val="39"/>
    <w:unhideWhenUsed/>
    <w:pPr>
      <w:ind w:left="1417" w:right="0" w:firstLine="0"/>
      <w:spacing w:after="57"/>
    </w:pPr>
  </w:style>
  <w:style w:type="paragraph" w:styleId="76">
    <w:name w:val="toc 7"/>
    <w:basedOn w:val="160"/>
    <w:next w:val="160"/>
    <w:uiPriority w:val="39"/>
    <w:unhideWhenUsed/>
    <w:pPr>
      <w:ind w:left="1701" w:right="0" w:firstLine="0"/>
      <w:spacing w:after="57"/>
    </w:pPr>
  </w:style>
  <w:style w:type="paragraph" w:styleId="77">
    <w:name w:val="toc 8"/>
    <w:basedOn w:val="160"/>
    <w:next w:val="160"/>
    <w:uiPriority w:val="39"/>
    <w:unhideWhenUsed/>
    <w:pPr>
      <w:ind w:left="1984" w:right="0" w:firstLine="0"/>
      <w:spacing w:after="57"/>
    </w:pPr>
  </w:style>
  <w:style w:type="paragraph" w:styleId="78">
    <w:name w:val="toc 9"/>
    <w:basedOn w:val="160"/>
    <w:next w:val="160"/>
    <w:uiPriority w:val="39"/>
    <w:unhideWhenUsed/>
    <w:pPr>
      <w:ind w:left="2268" w:right="0" w:firstLine="0"/>
      <w:spacing w:after="57"/>
    </w:pPr>
  </w:style>
  <w:style w:type="paragraph" w:styleId="79">
    <w:name w:val="TOC Heading"/>
    <w:uiPriority w:val="39"/>
    <w:unhideWhenUsed/>
  </w:style>
  <w:style w:type="paragraph" w:styleId="160" w:default="1">
    <w:name w:val="Normal"/>
    <w:qFormat/>
  </w:style>
  <w:style w:type="character" w:styleId="161" w:default="1">
    <w:name w:val="Default Paragraph Font"/>
    <w:uiPriority w:val="1"/>
    <w:semiHidden/>
    <w:unhideWhenUsed/>
  </w:style>
  <w:style w:type="table" w:styleId="1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63" w:default="1">
    <w:name w:val="No List"/>
    <w:uiPriority w:val="99"/>
    <w:semiHidden/>
    <w:unhideWhenUsed/>
  </w:style>
  <w:style w:type="paragraph" w:styleId="164" w:customStyle="1">
    <w:name w:val="ConsPlusNormal"/>
    <w:rPr>
      <w:rFonts w:ascii="Calibri" w:hAnsi="Calibri" w:cs="Calibri" w:eastAsia="Times New Roman"/>
      <w:szCs w:val="20"/>
      <w:lang w:eastAsia="ru-RU"/>
    </w:rPr>
    <w:pPr>
      <w:spacing w:lineRule="auto" w:line="240" w:after="0"/>
      <w:widowControl w:val="off"/>
    </w:pPr>
  </w:style>
  <w:style w:type="paragraph" w:styleId="165" w:customStyle="1">
    <w:name w:val="ConsPlusNonformat"/>
    <w:rPr>
      <w:rFonts w:ascii="Courier New" w:hAnsi="Courier New" w:cs="Courier New" w:eastAsia="Times New Roman"/>
      <w:sz w:val="20"/>
      <w:szCs w:val="20"/>
      <w:lang w:eastAsia="ru-RU"/>
    </w:rPr>
    <w:pPr>
      <w:spacing w:lineRule="auto" w:line="240" w:after="0"/>
      <w:widowControl w:val="off"/>
    </w:pPr>
  </w:style>
  <w:style w:type="paragraph" w:styleId="166" w:customStyle="1">
    <w:name w:val="ConsPlusTitle"/>
    <w:rPr>
      <w:rFonts w:ascii="Calibri" w:hAnsi="Calibri" w:cs="Calibri" w:eastAsia="Times New Roman"/>
      <w:b/>
      <w:szCs w:val="20"/>
      <w:lang w:eastAsia="ru-RU"/>
    </w:rPr>
    <w:pPr>
      <w:spacing w:lineRule="auto" w:line="240" w:after="0"/>
      <w:widowControl w:val="off"/>
    </w:pPr>
  </w:style>
  <w:style w:type="paragraph" w:styleId="167" w:customStyle="1">
    <w:name w:val="ConsPlusTitlePage"/>
    <w:rPr>
      <w:rFonts w:ascii="Tahoma" w:hAnsi="Tahoma" w:cs="Tahoma" w:eastAsia="Times New Roman"/>
      <w:sz w:val="20"/>
      <w:szCs w:val="20"/>
      <w:lang w:eastAsia="ru-RU"/>
    </w:rPr>
    <w:pPr>
      <w:spacing w:lineRule="auto" w:line="240" w:after="0"/>
      <w:widowControl w:val="off"/>
    </w:pPr>
  </w:style>
  <w:style w:type="paragraph" w:styleId="168">
    <w:name w:val="Balloon Text"/>
    <w:basedOn w:val="160"/>
    <w:link w:val="169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169" w:customStyle="1">
    <w:name w:val="Текст выноски Знак"/>
    <w:basedOn w:val="161"/>
    <w:link w:val="16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Р7-Офис/1.3.3.39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revision>4</cp:revision>
  <dcterms:created xsi:type="dcterms:W3CDTF">2021-04-09T07:57:00Z</dcterms:created>
  <dcterms:modified xsi:type="dcterms:W3CDTF">2022-04-22T13:20:39Z</dcterms:modified>
</cp:coreProperties>
</file>