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CFCE33B" w14:textId="77777777" w:rsidR="006153C6" w:rsidRDefault="00FC30EC" w:rsidP="005737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землепользования и застройки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14:paraId="274B8EB6" w14:textId="1BEBB152" w:rsidR="00C40363" w:rsidRPr="005737D1" w:rsidRDefault="009266F4" w:rsidP="005737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Большежировский</w:t>
      </w:r>
      <w:proofErr w:type="spellEnd"/>
      <w:r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сельсовет» Фатежского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2AB0EA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Большежировский</w:t>
      </w:r>
      <w:proofErr w:type="spellEnd"/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сельсовет» Фатежского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9266F4" w:rsidRPr="009266F4">
        <w:rPr>
          <w:rFonts w:ascii="Times New Roman" w:hAnsi="Times New Roman" w:cs="Times New Roman"/>
          <w:sz w:val="28"/>
          <w:szCs w:val="28"/>
        </w:rPr>
        <w:t>bolshezhirovskij-r38.gosweb.gosuslugi.ru</w:t>
      </w:r>
      <w:r w:rsidR="005D4F3C" w:rsidRPr="005D4F3C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9266F4">
        <w:rPr>
          <w:rFonts w:ascii="Times New Roman" w:hAnsi="Times New Roman" w:cs="Times New Roman"/>
          <w:sz w:val="28"/>
          <w:szCs w:val="28"/>
        </w:rPr>
        <w:t>12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A913FA">
        <w:rPr>
          <w:rFonts w:ascii="Times New Roman" w:hAnsi="Times New Roman" w:cs="Times New Roman"/>
          <w:sz w:val="28"/>
          <w:szCs w:val="28"/>
        </w:rPr>
        <w:t>но</w:t>
      </w:r>
      <w:r w:rsidR="0044530A">
        <w:rPr>
          <w:rFonts w:ascii="Times New Roman" w:hAnsi="Times New Roman" w:cs="Times New Roman"/>
          <w:sz w:val="28"/>
          <w:szCs w:val="28"/>
        </w:rPr>
        <w:t>ября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4E4AE5B5" w14:textId="77777777" w:rsidR="002B412E" w:rsidRP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5 ноября 2025 года по 26 ноября 2025 года.</w:t>
      </w:r>
    </w:p>
    <w:p w14:paraId="2A5B38D5" w14:textId="31815509" w:rsidR="002B412E" w:rsidRP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х. Абрамовский,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Александровский, х. Амелин, д. Андреевка,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Афонюшенский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артеневский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Богдановка,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Большое Жирово, х. Волна Революции, д. Головачи, д. Головинка, х. Горки,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Долгий,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Ивановский, х.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Кобелевский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Колычево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ореневка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Костина,  х. Кочеток, х. Кочеток, д. Кромская,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Кукуевка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Кутасовка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Ленина, х. Литва, х. Майский,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х. М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алиховский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Малое Жирово, д. Мармыжи, х.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Мелешинка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Новое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Сдобниково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Полевой Колодезь,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Поныри, х. Семеновский, д. Сетное,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Скрипеевка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Старое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Сдобниково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Томилин Колодезь, д. Ушаково,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д. Х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воростово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Хлынино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Хмельной,    х.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Чибисовка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Чернышевка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Большежировского</w:t>
      </w:r>
      <w:proofErr w:type="spellEnd"/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Фатежского района Курской области экспозицию организовать по адресу: Курская область, Фатежский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Большое Жирово, д. 52.</w:t>
      </w:r>
    </w:p>
    <w:p w14:paraId="08A00253" w14:textId="77777777" w:rsidR="002B412E" w:rsidRP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12 ноября 2025 года по 19 ноября</w:t>
      </w:r>
    </w:p>
    <w:p w14:paraId="7D85CD71" w14:textId="77777777" w:rsidR="002B412E" w:rsidRPr="002B412E" w:rsidRDefault="002B412E" w:rsidP="002B4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года.</w:t>
      </w:r>
    </w:p>
    <w:p w14:paraId="4E456BB0" w14:textId="55CA8BAB" w:rsid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D45150D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F9F52" w14:textId="77777777" w:rsidR="00D755E4" w:rsidRDefault="00D755E4" w:rsidP="00EE7226">
      <w:pPr>
        <w:spacing w:after="0" w:line="240" w:lineRule="auto"/>
      </w:pPr>
      <w:r>
        <w:separator/>
      </w:r>
    </w:p>
  </w:endnote>
  <w:endnote w:type="continuationSeparator" w:id="0">
    <w:p w14:paraId="3ABAE917" w14:textId="77777777" w:rsidR="00D755E4" w:rsidRDefault="00D755E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FB47B" w14:textId="77777777" w:rsidR="00D755E4" w:rsidRDefault="00D755E4" w:rsidP="00EE7226">
      <w:pPr>
        <w:spacing w:after="0" w:line="240" w:lineRule="auto"/>
      </w:pPr>
      <w:r>
        <w:separator/>
      </w:r>
    </w:p>
  </w:footnote>
  <w:footnote w:type="continuationSeparator" w:id="0">
    <w:p w14:paraId="53A46AAF" w14:textId="77777777" w:rsidR="00D755E4" w:rsidRDefault="00D755E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134</cp:revision>
  <cp:lastPrinted>2022-01-31T08:54:00Z</cp:lastPrinted>
  <dcterms:created xsi:type="dcterms:W3CDTF">2022-03-21T10:08:00Z</dcterms:created>
  <dcterms:modified xsi:type="dcterms:W3CDTF">2025-10-28T09:30:00Z</dcterms:modified>
</cp:coreProperties>
</file>