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center"/>
        <w:shd w:val="clear" w:fill="FFFFFF" w:color="auto"/>
      </w:pPr>
      <w:r>
        <w:t xml:space="preserve">ПРОЕКТ</w:t>
      </w:r>
      <w:r/>
    </w:p>
    <w:p>
      <w:pPr>
        <w:ind w:left="4819" w:right="0" w:firstLine="0"/>
        <w:jc w:val="center"/>
        <w:shd w:val="clear" w:fill="FFFFFF" w:color="auto"/>
      </w:pPr>
      <w:r/>
      <w:r/>
    </w:p>
    <w:p>
      <w:pPr>
        <w:ind w:left="4819" w:right="0" w:firstLine="0"/>
        <w:jc w:val="center"/>
        <w:shd w:val="clear" w:fill="FFFFFF" w:color="auto"/>
      </w:pPr>
      <w:r/>
      <w:r/>
    </w:p>
    <w:p>
      <w:pPr>
        <w:ind w:left="4819" w:right="0" w:firstLine="0"/>
        <w:jc w:val="center"/>
        <w:shd w:val="clear" w:fill="FFFFFF" w:color="auto"/>
      </w:pPr>
      <w:r/>
      <w:r/>
    </w:p>
    <w:p>
      <w:pPr>
        <w:ind w:left="0" w:right="0" w:firstLine="0"/>
        <w:jc w:val="center"/>
        <w:shd w:val="clear" w:fill="FFFFFF" w:color="auto"/>
        <w:rPr>
          <w:b/>
          <w:highlight w:val="none"/>
        </w:rPr>
      </w:pPr>
      <w:r>
        <w:rPr>
          <w:b/>
          <w:highlight w:val="none"/>
        </w:rPr>
        <w:t xml:space="preserve">Доклад о результатах о</w:t>
      </w:r>
      <w:r>
        <w:rPr>
          <w:b/>
          <w:highlight w:val="none"/>
        </w:rPr>
        <w:t xml:space="preserve">бобщения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2025 год</w:t>
      </w:r>
      <w:r>
        <w:rPr>
          <w:b/>
          <w:highlight w:val="none"/>
        </w:rPr>
      </w:r>
      <w:r/>
    </w:p>
    <w:p>
      <w:pPr>
        <w:ind w:left="0" w:right="0" w:firstLine="0"/>
        <w:jc w:val="center"/>
        <w:shd w:val="clear" w:fill="FFFFFF" w:color="auto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ind w:left="0" w:right="0" w:firstLine="0"/>
        <w:jc w:val="center"/>
        <w:shd w:val="clear" w:fill="FFFFFF" w:color="auto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b w:val="false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</w:rPr>
        <w:t xml:space="preserve">Доклад о результатах о</w:t>
      </w:r>
      <w:r>
        <w:rPr>
          <w:b w:val="false"/>
          <w:highlight w:val="none"/>
        </w:rPr>
        <w:t xml:space="preserve">бобщения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</w:t>
      </w:r>
      <w:r>
        <w:rPr>
          <w:b w:val="false"/>
          <w:highlight w:val="none"/>
        </w:rPr>
        <w:t xml:space="preserve">за 2025 год подготовлен в рамках реализации части 2 статьи 47</w:t>
      </w:r>
      <w:r>
        <w:rPr>
          <w:b w:val="false"/>
          <w:highlight w:val="none"/>
        </w:rPr>
        <w:t xml:space="preserve"> </w:t>
      </w:r>
      <w:r>
        <w:rPr>
          <w:b w:val="false"/>
          <w:highlight w:val="none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b w:val="false"/>
          <w:highlight w:val="none"/>
        </w:rPr>
        <w:t xml:space="preserve">, пункта 3.</w:t>
      </w:r>
      <w:r>
        <w:rPr>
          <w:b w:val="false"/>
          <w:highlight w:val="none"/>
        </w:rPr>
        <w:t xml:space="preserve">5 </w:t>
      </w:r>
      <w:r>
        <w:rPr>
          <w:b w:val="false"/>
          <w:highlight w:val="none"/>
        </w:rPr>
        <w:t xml:space="preserve">П</w:t>
      </w:r>
      <w:r>
        <w:rPr>
          <w:b w:val="false"/>
          <w:highlight w:val="none"/>
        </w:rPr>
        <w:t xml:space="preserve">оложени</w:t>
      </w:r>
      <w:r>
        <w:rPr>
          <w:b w:val="false"/>
          <w:highlight w:val="none"/>
        </w:rPr>
        <w:t xml:space="preserve">я </w:t>
      </w:r>
      <w:r>
        <w:rPr>
          <w:b w:val="false"/>
          <w:highlight w:val="none"/>
        </w:rPr>
        <w:t xml:space="preserve">о региональном гос</w:t>
      </w:r>
      <w:r>
        <w:rPr>
          <w:b w:val="false"/>
          <w:highlight w:val="none"/>
        </w:rPr>
        <w:t xml:space="preserve">ударственном контроле (надзоре) в области долевого строительства многоквартирных домов и (или) иных объектов недвижимости, утвержденного </w:t>
      </w:r>
      <w:r>
        <w:rPr>
          <w:b w:val="false"/>
          <w:highlight w:val="none"/>
        </w:rPr>
        <w:t xml:space="preserve">постановлением </w:t>
      </w:r>
      <w:r>
        <w:rPr>
          <w:b w:val="false"/>
          <w:highlight w:val="none"/>
        </w:rPr>
        <w:t xml:space="preserve">Администрации Курской области </w:t>
      </w:r>
      <w:r>
        <w:rPr>
          <w:b w:val="false"/>
          <w:highlight w:val="none"/>
        </w:rPr>
        <w:t xml:space="preserve">от 06.12.2021 № 1290-па.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</w:rPr>
        <w:t xml:space="preserve"> </w:t>
      </w:r>
      <w:r>
        <w:t xml:space="preserve">Целями обобщения и анализа правоприменительной практики являются: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обеспечение единообразных подходов к применению нормативных правовых актов Российской Федерации, иных нормативных документов, обязательность применения которых установлена законодательством </w:t>
      </w:r>
      <w:r>
        <w:t xml:space="preserve">Российской Федерации; 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обеспечение доступности сведений о правоприменительной практике министерства восстановления, развития приграничья и строительства Курской  области путем их публикации для сведения подконтрольных субъектов; 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снижение количества нарушений обязательных требований за счет обес</w:t>
      </w:r>
      <w:r>
        <w:t xml:space="preserve">печен</w:t>
      </w:r>
      <w:r>
        <w:t xml:space="preserve">ия информированности </w:t>
      </w:r>
      <w:r>
        <w:t xml:space="preserve">лиц,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 (далее - застройщик, контролируемое лицо)</w:t>
      </w:r>
      <w:r>
        <w:t xml:space="preserve"> о практике применения обязательных требований. 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Задачами об</w:t>
      </w:r>
      <w:r>
        <w:t xml:space="preserve">общения и анализа правоприменительной практики являются: 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 выработка оптимальных решений проблем правоприменительной практики с привлечением заинтересованных лиц и их реализация; 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проблемных вопросов применения подконтрольными субъектами обязатель</w:t>
      </w:r>
      <w:r>
        <w:t xml:space="preserve">ных требований; 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  <w:r>
        <w:rPr>
          <w:b/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b w:val="false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Министерство восстановления, развития приграничья и строительства Курской области (далее - Министерство) осуществляет </w:t>
      </w:r>
      <w:r>
        <w:t xml:space="preserve">региональный государственный контроль (надзор) в области долевого строительства многоквартирных домов и (или) строительства иных объектов недвижимости</w:t>
      </w:r>
      <w:r>
        <w:t xml:space="preserve"> в соответствии с пп. 6 п. 3.1 </w:t>
      </w:r>
      <w:r>
        <w:t xml:space="preserve">Положения о Министерстве восстановления, развития приграничья и строительства Курской области, утвержденного </w:t>
      </w:r>
      <w:r>
        <w:t xml:space="preserve">постановлением</w:t>
        <w:br/>
        <w:t xml:space="preserve">Губернатора Курской области от 7 ноября 2022 г. N 331-пг и </w:t>
      </w:r>
      <w:r>
        <w:rPr>
          <w:b w:val="false"/>
          <w:highlight w:val="none"/>
        </w:rPr>
        <w:t xml:space="preserve">П</w:t>
      </w:r>
      <w:r>
        <w:rPr>
          <w:b w:val="false"/>
          <w:highlight w:val="none"/>
        </w:rPr>
        <w:t xml:space="preserve">оложени</w:t>
      </w:r>
      <w:r>
        <w:rPr>
          <w:b w:val="false"/>
          <w:highlight w:val="none"/>
        </w:rPr>
        <w:t xml:space="preserve">ем </w:t>
      </w:r>
      <w:r>
        <w:rPr>
          <w:b w:val="false"/>
          <w:highlight w:val="none"/>
        </w:rPr>
        <w:t xml:space="preserve">о региональном гос</w:t>
      </w:r>
      <w:r>
        <w:rPr>
          <w:b w:val="false"/>
          <w:highlight w:val="none"/>
        </w:rPr>
        <w:t xml:space="preserve">ударственном контроле (надзоре) в области долевого строительства многоквартирных домов и (или) иных объектов недвижимости, утвержденного </w:t>
      </w:r>
      <w:r>
        <w:rPr>
          <w:b w:val="false"/>
          <w:highlight w:val="none"/>
        </w:rPr>
        <w:t xml:space="preserve">постановлением </w:t>
      </w:r>
      <w:r>
        <w:rPr>
          <w:b w:val="false"/>
          <w:highlight w:val="none"/>
        </w:rPr>
        <w:t xml:space="preserve">Администрации Курской области </w:t>
      </w:r>
      <w:r>
        <w:rPr>
          <w:b w:val="false"/>
          <w:highlight w:val="none"/>
        </w:rPr>
        <w:t xml:space="preserve">от 06.12.2021 № 1290-па.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t xml:space="preserve">Предметом регионального государственного контроля (надзора) в области долевого строительства многоквартирных домов и (или) иных объектов недвижимости является соблюдение лицами, привлекающими денежные средства участников долевого строительства для строител</w:t>
      </w:r>
      <w:r>
        <w:t xml:space="preserve">ьства (создания) многоквартирных домов и (или) иных объектов недвижимости, обязательных требований, установленных </w:t>
      </w:r>
      <w:r>
        <w:t xml:space="preserve">Федеральным законом </w:t>
      </w:r>
      <w:r>
        <w:t xml:space="preserve">от 30.12.2004 № 214-ФЗ </w:t>
      </w:r>
      <w: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>
        <w:t xml:space="preserve">и принятыми в соответствии с ним иными нормативными правовыми актами Российской Федерации.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При осуществлении </w:t>
      </w:r>
      <w:r>
        <w:t xml:space="preserve">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Министерство руководствуется Конституцией Российской Федерации, </w:t>
      </w:r>
      <w:r>
        <w:t xml:space="preserve">федеральными законами, </w:t>
      </w:r>
      <w:r>
        <w:t xml:space="preserve">правовыми актами Президента Российской Федерации и Правительства Российской Федерации, законами Курской области, правовыми актами Правительства Курской области и Губернатора Курской области, а также иными нормативными правовыми актами. 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Министерство осуществляет региональный государственный контроль (надзор) посредством проведения: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а) профилактических мероприятий;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б) контрольных (надзорных) мероприятий, проводимых с взаимодействием с контролируемым лицом;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в) контрольных (надзорных) мероприятий, проводимых без взаимодействия с контролируемым лицом.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 соответствии с </w:t>
      </w:r>
      <w:r>
        <w:t xml:space="preserve">частью 3 статьи 23.5 Федерального закона</w:t>
      </w:r>
      <w:r>
        <w:t xml:space="preserve"> от 30.12.2004 № 214-ФЗ </w:t>
      </w:r>
      <w: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</w:t>
      </w:r>
      <w:r>
        <w:t xml:space="preserve">ьные </w:t>
      </w:r>
      <w:r>
        <w:t xml:space="preserve">акты Российской Федерации»</w:t>
      </w:r>
      <w:r>
        <w:t xml:space="preserve"> при осуществлении регионального государственного контроля (надзора) плановые контрольные (надзорные) мероприятия не проводятся.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Отнесение объектов контроля к категориям риска причинения вреда (ущерба) охраняемым законом ценностям не осуществляется, критерии отнесения объектов контроля к категориям риска причинения вреда (ущерба) охраняемым законом ценностям не устанавливаются.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 разрабатывает индикаторы риска нарушения обязательных требований. </w:t>
      </w:r>
      <w:r>
        <w:t xml:space="preserve">Выявление индикаторов риска нарушения обязательных требований осуществляется Министерством без взаимодействия с контролируемыми лицами. </w:t>
      </w:r>
      <w:r>
        <w:t xml:space="preserve">При выявлении индикаторов риска нарушения обязательных требований Министерством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</w:t>
      </w:r>
      <w:r>
        <w:t xml:space="preserve">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</w:t>
      </w:r>
      <w:r>
        <w:t xml:space="preserve">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</w:t>
      </w:r>
      <w:r>
        <w:t xml:space="preserve">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</w:t>
      </w:r>
      <w:r>
        <w:t xml:space="preserve">нных ресурсах, и иные сведения об объектах контроля.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Индикаторы риска нарушения обязательных требований при осуществлении регионального государственного контроля (надзора):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единой инфо</w:t>
      </w:r>
      <w:r>
        <w:t xml:space="preserve">рмационной системе жилищного строительства (далее - ЕИСЖС), данных из сети «Интернет», иных общедоступных данных, факта непоступления от застройщика или технического заказчика в Министерство извещения о начале строительства, реконструкции объекта капитальн</w:t>
      </w:r>
      <w:r>
        <w:t xml:space="preserve">ого строительства в течение 90 дней с даты регистрации первого договора участия в долевом строительстве данного объекта.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ЕИСЖС, данн</w:t>
      </w:r>
      <w:r>
        <w:t xml:space="preserve">ых из сети «Интернет», иных общедоступных данных, факта продления сроков действия разрешения на строительство объекта недвижимости, либо переноса предполагаемого срока получения разрешения на ввод в эксплуатацию строящегося многоквартирного дома и (или) ин</w:t>
      </w:r>
      <w:r>
        <w:t xml:space="preserve">ого объекта недвижимости, либо переноса срока передачи застройщиком объекта долевого строительства участнику такого строительства на 6 и более месяцев от первоначального срока.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ЕИСЖС, данн</w:t>
      </w:r>
      <w:r>
        <w:t xml:space="preserve">ых, поступивших в Министерство при осуществлении регионального государственного строительного надзора, факта отставания застройщиком по одному (любому) из этапов реализации проекта строительства, указанных в проектной декларации, на 6 месяцев и более.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данных из обращений граждан и юридических </w:t>
      </w:r>
      <w:r>
        <w:t xml:space="preserve">лиц, данных из сети «Интернет», иных общедоступных данных фактов продажи помещений в многоквартирных домах и (или) иных объектах недвижимости, которые не введены в эксплуатацию в порядке, установленном законодательством о градостроительной деятельности, и </w:t>
      </w:r>
      <w:r>
        <w:t xml:space="preserve">в отношении которых контролируемым лицом не размещена проектная декларация в ЕИСЖС.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Профи</w:t>
      </w:r>
      <w:r>
        <w:t xml:space="preserve">лактические мероприятия осуществляются Министерством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</w:t>
      </w:r>
      <w:r>
        <w:t xml:space="preserve">ли) причинению вреда (ущерба) охраняемым законом ценностям, и создания условий для доведения обязательных требований до контролируемых лиц, повышения информированности о способах их соблюдения.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С целью предотвращения совершения контролируемыми лицами правонарушений в области долевого строительства многоквартирных домов и (или) иных объектов недвижимости Министерство проводит следующие </w:t>
      </w:r>
      <w:r>
        <w:t xml:space="preserve">профи</w:t>
      </w:r>
      <w:r>
        <w:t xml:space="preserve">лактические мероприятия: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1) информирование;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2) обобщение правоприменительной практики;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3) объявление предостережения;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4) консультирование;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5) </w:t>
      </w:r>
      <w:r>
        <w:t xml:space="preserve">профи</w:t>
      </w:r>
      <w:r>
        <w:t xml:space="preserve">лактический визит.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В 2025 </w:t>
      </w:r>
      <w:r>
        <w:rPr>
          <w:highlight w:val="none"/>
        </w:rPr>
        <w:t xml:space="preserve">году Министерством в рамках осуществления регионального </w:t>
      </w:r>
      <w:r>
        <w:t xml:space="preserve">государственного контроля (надзора) в области долевого строительства многоквартирных домов и (или) иных объектов </w:t>
      </w:r>
      <w:r>
        <w:t xml:space="preserve">недвижимости </w:t>
      </w:r>
      <w:r>
        <w:t xml:space="preserve">на территории </w:t>
      </w:r>
      <w:r>
        <w:t xml:space="preserve">Курской области проведено 12 информирований и  82 консультирования</w:t>
      </w:r>
      <w:r>
        <w:rPr>
          <w:highlight w:val="none"/>
        </w:rPr>
        <w:t xml:space="preserve">, направлено 3 информации, в соответствии с которыми возбуждено 3 уголовных дела в отношении подконтрольных лиц. 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t xml:space="preserve">В соответствии с программой профилактики </w:t>
      </w:r>
      <w:r>
        <w:rPr>
          <w:bCs/>
        </w:rPr>
        <w:t xml:space="preserve">рисков причин</w:t>
      </w:r>
      <w:r>
        <w:rPr>
          <w:bCs/>
        </w:rPr>
        <w:t xml:space="preserve">ения вреда (ущерба) о</w:t>
      </w:r>
      <w:r>
        <w:rPr>
          <w:bCs/>
        </w:rPr>
        <w:t xml:space="preserve">храняемым законом ценностям </w:t>
      </w:r>
      <w:r>
        <w:t xml:space="preserve">на </w:t>
      </w:r>
      <w:r>
        <w:t xml:space="preserve">202</w:t>
      </w:r>
      <w:r>
        <w:t xml:space="preserve">5 </w:t>
      </w:r>
      <w:r>
        <w:t xml:space="preserve">г</w:t>
      </w:r>
      <w:r>
        <w:t xml:space="preserve"> при </w:t>
      </w:r>
      <w:r>
        <w:t xml:space="preserve">осуществлении </w:t>
      </w:r>
      <w: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>
        <w:t xml:space="preserve">недвижимости </w:t>
      </w:r>
      <w:r>
        <w:t xml:space="preserve">на территории </w:t>
      </w:r>
      <w:r>
        <w:t xml:space="preserve">Курской области, утвержденной приказом министерства строительства Курской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04.12.2024 г. №451-осн в 2025 году М</w:t>
      </w:r>
      <w:r>
        <w:t xml:space="preserve">инистерством путем видео-конференц-связи проведено 2 профилактических визита: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26.06.2025г. в отношении </w:t>
      </w:r>
      <w:r>
        <w:rPr>
          <w:highlight w:val="none"/>
        </w:rPr>
        <w:t xml:space="preserve">ООО </w:t>
      </w:r>
      <w:r>
        <w:t xml:space="preserve"> «Специализированный застройщик «Красная площадь дом-1»</w:t>
      </w:r>
      <w:r>
        <w:t xml:space="preserve">;</w:t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21.08.2025г. в отношени</w:t>
      </w:r>
      <w:r>
        <w:rPr>
          <w:highlight w:val="none"/>
        </w:rPr>
        <w:t xml:space="preserve">и </w:t>
      </w:r>
      <w:r>
        <w:rPr>
          <w:highlight w:val="none"/>
        </w:rPr>
        <w:t xml:space="preserve">ООО «Специализированный застройщик «Инжернер»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Министерством утверждена программа профилактики рисков причинения вреда (ущерба) охраняемым законом ценностям на 2026 год при осуществлении регионального государственного </w:t>
      </w:r>
      <w:r>
        <w:rPr>
          <w:highlight w:val="none"/>
        </w:rPr>
        <w:t xml:space="preserve">контроля (надзора) в области долевого строительства многоквартирных домов и (или) иных объектов недвижимости на территории Курской области (приказ министерства восстановления, развития приграничья и строительства Курской области от 19.12.2025 г. №520-осн).</w:t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  <w:t xml:space="preserve">В 2025 году уполномоченными должностными лицами Министерства рассмотрено 16 постановлений о возбуждении дела об административных правонарушениях по ч. 2 ст. 14.28 и ч. 1 ст. 13.19.3 КоАП РФ. Постановления о назначении административного наказания №1-1/2025 </w:t>
      </w:r>
      <w:r>
        <w:rPr>
          <w:highlight w:val="none"/>
        </w:rPr>
        <w:t xml:space="preserve">от 09.01.2025г. и №2-1/2025 от 09.01.2025г. отменены решениями Ленинского районного суда г. Курска (№12-169/2-2025 от 07.05.2025г. и №12-298/29-2025 от 18.07.2025г.), дела об административных правонарушениях направлены на новое рассмотрение в Министерство.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yellow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  <w:t xml:space="preserve">Министерством в целях актуализации правового регулирования осуществления государственного контроля (надзора) в области </w:t>
      </w:r>
      <w:r>
        <w:rPr>
          <w:b w:val="false"/>
          <w:highlight w:val="none"/>
        </w:rPr>
        <w:t xml:space="preserve">долевого строительства многоквартирных домов и (или) иных объектов недвижимости </w:t>
      </w:r>
      <w:r>
        <w:rPr>
          <w:highlight w:val="none"/>
        </w:rPr>
        <w:t xml:space="preserve">п</w:t>
      </w:r>
      <w:r>
        <w:rPr>
          <w:highlight w:val="none"/>
        </w:rPr>
        <w:t xml:space="preserve">одготовлена </w:t>
      </w:r>
      <w:r>
        <w:t xml:space="preserve">новая редакция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Курской области </w:t>
      </w:r>
      <w:r>
        <w:t xml:space="preserve">путем внесения измен</w:t>
      </w:r>
      <w:r>
        <w:rPr>
          <w:highlight w:val="none"/>
        </w:rPr>
        <w:t xml:space="preserve">ений в </w:t>
      </w:r>
      <w:r>
        <w:rPr>
          <w:b w:val="false"/>
          <w:highlight w:val="none"/>
        </w:rPr>
        <w:t xml:space="preserve">постановление </w:t>
      </w:r>
      <w:r>
        <w:rPr>
          <w:b w:val="false"/>
          <w:highlight w:val="none"/>
        </w:rPr>
        <w:t xml:space="preserve">Администрации Курской области </w:t>
      </w:r>
      <w:r>
        <w:rPr>
          <w:b w:val="false"/>
          <w:highlight w:val="none"/>
        </w:rPr>
        <w:t xml:space="preserve">от 06.12.2021 № 1290-па</w:t>
      </w:r>
      <w:r>
        <w:rPr>
          <w:highlight w:val="none"/>
        </w:rPr>
        <w:t xml:space="preserve">. </w:t>
      </w:r>
      <w:r>
        <w:rPr>
          <w:highlight w:val="yellow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yellow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yellow"/>
        </w:rPr>
      </w:r>
      <w:r>
        <w:rPr>
          <w:highlight w:val="yellow"/>
        </w:rPr>
      </w:r>
      <w:r/>
    </w:p>
    <w:p>
      <w:pPr>
        <w:ind w:left="0" w:right="0" w:firstLine="709"/>
        <w:jc w:val="both"/>
        <w:spacing w:after="0" w:before="0"/>
        <w:shd w:val="clear" w:color="FFFFFF"/>
        <w:rPr>
          <w:highlight w:val="yellow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lang w:val="ru-RU"/>
        </w:rPr>
        <w:br/>
      </w:r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9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120" w:right="120" w:firstLine="0"/>
        <w:spacing w:after="120" w:before="1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851" w:bottom="1134" w:left="1134" w:header="680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BrickNews">
    <w:panose1 w:val="03030502040406070605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Heading 1 Char"/>
    <w:basedOn w:val="821"/>
    <w:link w:val="820"/>
    <w:uiPriority w:val="9"/>
    <w:rPr>
      <w:rFonts w:ascii="Arial" w:hAnsi="Arial" w:cs="Arial" w:eastAsia="Arial"/>
      <w:sz w:val="40"/>
      <w:szCs w:val="40"/>
    </w:rPr>
  </w:style>
  <w:style w:type="paragraph" w:styleId="647">
    <w:name w:val="Heading 2"/>
    <w:basedOn w:val="819"/>
    <w:next w:val="819"/>
    <w:link w:val="6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8">
    <w:name w:val="Heading 2 Char"/>
    <w:basedOn w:val="821"/>
    <w:link w:val="647"/>
    <w:uiPriority w:val="9"/>
    <w:rPr>
      <w:rFonts w:ascii="Arial" w:hAnsi="Arial" w:cs="Arial" w:eastAsia="Arial"/>
      <w:sz w:val="34"/>
    </w:rPr>
  </w:style>
  <w:style w:type="paragraph" w:styleId="649">
    <w:name w:val="Heading 3"/>
    <w:basedOn w:val="819"/>
    <w:next w:val="819"/>
    <w:link w:val="6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0">
    <w:name w:val="Heading 3 Char"/>
    <w:basedOn w:val="821"/>
    <w:link w:val="649"/>
    <w:uiPriority w:val="9"/>
    <w:rPr>
      <w:rFonts w:ascii="Arial" w:hAnsi="Arial" w:cs="Arial" w:eastAsia="Arial"/>
      <w:sz w:val="30"/>
      <w:szCs w:val="30"/>
    </w:rPr>
  </w:style>
  <w:style w:type="paragraph" w:styleId="651">
    <w:name w:val="Heading 4"/>
    <w:basedOn w:val="819"/>
    <w:next w:val="819"/>
    <w:link w:val="6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2">
    <w:name w:val="Heading 4 Char"/>
    <w:basedOn w:val="821"/>
    <w:link w:val="651"/>
    <w:uiPriority w:val="9"/>
    <w:rPr>
      <w:rFonts w:ascii="Arial" w:hAnsi="Arial" w:cs="Arial" w:eastAsia="Arial"/>
      <w:b/>
      <w:bCs/>
      <w:sz w:val="26"/>
      <w:szCs w:val="26"/>
    </w:rPr>
  </w:style>
  <w:style w:type="paragraph" w:styleId="653">
    <w:name w:val="Heading 5"/>
    <w:basedOn w:val="819"/>
    <w:next w:val="819"/>
    <w:link w:val="6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4">
    <w:name w:val="Heading 5 Char"/>
    <w:basedOn w:val="821"/>
    <w:link w:val="653"/>
    <w:uiPriority w:val="9"/>
    <w:rPr>
      <w:rFonts w:ascii="Arial" w:hAnsi="Arial" w:cs="Arial" w:eastAsia="Arial"/>
      <w:b/>
      <w:bCs/>
      <w:sz w:val="24"/>
      <w:szCs w:val="24"/>
    </w:rPr>
  </w:style>
  <w:style w:type="paragraph" w:styleId="655">
    <w:name w:val="Heading 6"/>
    <w:basedOn w:val="819"/>
    <w:next w:val="819"/>
    <w:link w:val="6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6">
    <w:name w:val="Heading 6 Char"/>
    <w:basedOn w:val="821"/>
    <w:link w:val="655"/>
    <w:uiPriority w:val="9"/>
    <w:rPr>
      <w:rFonts w:ascii="Arial" w:hAnsi="Arial" w:cs="Arial" w:eastAsia="Arial"/>
      <w:b/>
      <w:bCs/>
      <w:sz w:val="22"/>
      <w:szCs w:val="22"/>
    </w:rPr>
  </w:style>
  <w:style w:type="paragraph" w:styleId="657">
    <w:name w:val="Heading 7"/>
    <w:basedOn w:val="819"/>
    <w:next w:val="819"/>
    <w:link w:val="6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8">
    <w:name w:val="Heading 7 Char"/>
    <w:basedOn w:val="821"/>
    <w:link w:val="6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9">
    <w:name w:val="Heading 8"/>
    <w:basedOn w:val="819"/>
    <w:next w:val="819"/>
    <w:link w:val="6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0">
    <w:name w:val="Heading 8 Char"/>
    <w:basedOn w:val="821"/>
    <w:link w:val="659"/>
    <w:uiPriority w:val="9"/>
    <w:rPr>
      <w:rFonts w:ascii="Arial" w:hAnsi="Arial" w:cs="Arial" w:eastAsia="Arial"/>
      <w:i/>
      <w:iCs/>
      <w:sz w:val="22"/>
      <w:szCs w:val="22"/>
    </w:rPr>
  </w:style>
  <w:style w:type="paragraph" w:styleId="661">
    <w:name w:val="Heading 9"/>
    <w:basedOn w:val="819"/>
    <w:next w:val="819"/>
    <w:link w:val="6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2">
    <w:name w:val="Heading 9 Char"/>
    <w:basedOn w:val="821"/>
    <w:link w:val="661"/>
    <w:uiPriority w:val="9"/>
    <w:rPr>
      <w:rFonts w:ascii="Arial" w:hAnsi="Arial" w:cs="Arial" w:eastAsia="Arial"/>
      <w:i/>
      <w:iCs/>
      <w:sz w:val="21"/>
      <w:szCs w:val="21"/>
    </w:rPr>
  </w:style>
  <w:style w:type="paragraph" w:styleId="663">
    <w:name w:val="List Paragraph"/>
    <w:basedOn w:val="819"/>
    <w:qFormat/>
    <w:uiPriority w:val="34"/>
    <w:pPr>
      <w:contextualSpacing w:val="true"/>
      <w:ind w:left="720"/>
    </w:pPr>
  </w:style>
  <w:style w:type="paragraph" w:styleId="664">
    <w:name w:val="No Spacing"/>
    <w:qFormat/>
    <w:uiPriority w:val="1"/>
    <w:pPr>
      <w:spacing w:lineRule="auto" w:line="240" w:after="0" w:before="0"/>
    </w:pPr>
  </w:style>
  <w:style w:type="paragraph" w:styleId="665">
    <w:name w:val="Title"/>
    <w:basedOn w:val="819"/>
    <w:next w:val="819"/>
    <w:link w:val="6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6">
    <w:name w:val="Title Char"/>
    <w:basedOn w:val="821"/>
    <w:link w:val="665"/>
    <w:uiPriority w:val="10"/>
    <w:rPr>
      <w:sz w:val="48"/>
      <w:szCs w:val="48"/>
    </w:rPr>
  </w:style>
  <w:style w:type="paragraph" w:styleId="667">
    <w:name w:val="Subtitle"/>
    <w:basedOn w:val="819"/>
    <w:next w:val="819"/>
    <w:link w:val="668"/>
    <w:qFormat/>
    <w:uiPriority w:val="11"/>
    <w:rPr>
      <w:sz w:val="24"/>
      <w:szCs w:val="24"/>
    </w:rPr>
    <w:pPr>
      <w:spacing w:after="200" w:before="200"/>
    </w:pPr>
  </w:style>
  <w:style w:type="character" w:styleId="668">
    <w:name w:val="Subtitle Char"/>
    <w:basedOn w:val="821"/>
    <w:link w:val="667"/>
    <w:uiPriority w:val="11"/>
    <w:rPr>
      <w:sz w:val="24"/>
      <w:szCs w:val="24"/>
    </w:rPr>
  </w:style>
  <w:style w:type="paragraph" w:styleId="669">
    <w:name w:val="Quote"/>
    <w:basedOn w:val="819"/>
    <w:next w:val="819"/>
    <w:link w:val="670"/>
    <w:qFormat/>
    <w:uiPriority w:val="29"/>
    <w:rPr>
      <w:i/>
    </w:rPr>
    <w:pPr>
      <w:ind w:left="720" w:right="720"/>
    </w:p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19"/>
    <w:next w:val="819"/>
    <w:link w:val="67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2">
    <w:name w:val="Intense Quote Char"/>
    <w:link w:val="671"/>
    <w:uiPriority w:val="30"/>
    <w:rPr>
      <w:i/>
    </w:rPr>
  </w:style>
  <w:style w:type="character" w:styleId="673">
    <w:name w:val="Header Char"/>
    <w:basedOn w:val="821"/>
    <w:link w:val="824"/>
    <w:uiPriority w:val="99"/>
  </w:style>
  <w:style w:type="character" w:styleId="674">
    <w:name w:val="Footer Char"/>
    <w:basedOn w:val="821"/>
    <w:link w:val="827"/>
    <w:uiPriority w:val="99"/>
  </w:style>
  <w:style w:type="paragraph" w:styleId="675">
    <w:name w:val="Caption"/>
    <w:basedOn w:val="819"/>
    <w:next w:val="81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6">
    <w:name w:val="Caption Char"/>
    <w:basedOn w:val="675"/>
    <w:link w:val="827"/>
    <w:uiPriority w:val="99"/>
  </w:style>
  <w:style w:type="table" w:styleId="677">
    <w:name w:val="Table Grid Light"/>
    <w:basedOn w:val="8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5">
    <w:name w:val="Grid Table 4 - Accent 1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6">
    <w:name w:val="Grid Table 4 - Accent 2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7">
    <w:name w:val="Grid Table 4 - Accent 3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8">
    <w:name w:val="Grid Table 4 - Accent 4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9">
    <w:name w:val="Grid Table 4 - Accent 5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0">
    <w:name w:val="Grid Table 4 - Accent 6"/>
    <w:basedOn w:val="8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1">
    <w:name w:val="Grid Table 5 Dark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12">
    <w:name w:val="Grid Table 5 Dark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15">
    <w:name w:val="Grid Table 5 Dark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7">
    <w:name w:val="Grid Table 5 Dark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8">
    <w:name w:val="Grid Table 6 Colorful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0">
    <w:name w:val="List Table 2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1">
    <w:name w:val="List Table 2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2">
    <w:name w:val="List Table 2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3">
    <w:name w:val="List Table 2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4">
    <w:name w:val="List Table 2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5">
    <w:name w:val="List Table 2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6">
    <w:name w:val="List Table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8">
    <w:name w:val="List Table 6 Colorful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9">
    <w:name w:val="List Table 6 Colorful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0">
    <w:name w:val="List Table 6 Colorful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1">
    <w:name w:val="List Table 6 Colorful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2">
    <w:name w:val="List Table 6 Colorful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3">
    <w:name w:val="List Table 6 Colorful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4">
    <w:name w:val="List Table 7 Colorful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2">
    <w:name w:val="Lined - Accent 1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3">
    <w:name w:val="Lined - Accent 2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4">
    <w:name w:val="Lined - Accent 3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5">
    <w:name w:val="Lined - Accent 4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6">
    <w:name w:val="Lined - Accent 5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7">
    <w:name w:val="Lined - Accent 6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8">
    <w:name w:val="Bordered &amp; Lined - Accent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9">
    <w:name w:val="Bordered &amp; Lined - Accent 1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0">
    <w:name w:val="Bordered &amp; Lined - Accent 2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1">
    <w:name w:val="Bordered &amp; Lined - Accent 3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2">
    <w:name w:val="Bordered &amp; Lined - Accent 4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3">
    <w:name w:val="Bordered &amp; Lined - Accent 5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4">
    <w:name w:val="Bordered &amp; Lined - Accent 6"/>
    <w:basedOn w:val="8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5">
    <w:name w:val="Bordered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6">
    <w:name w:val="Bordered - Accent 1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7">
    <w:name w:val="Bordered - Accent 2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8">
    <w:name w:val="Bordered - Accent 3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9">
    <w:name w:val="Bordered - Accent 4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0">
    <w:name w:val="Bordered - Accent 5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1">
    <w:name w:val="Bordered - Accent 6"/>
    <w:basedOn w:val="8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02">
    <w:name w:val="footnote text"/>
    <w:basedOn w:val="819"/>
    <w:link w:val="803"/>
    <w:uiPriority w:val="99"/>
    <w:semiHidden/>
    <w:unhideWhenUsed/>
    <w:rPr>
      <w:sz w:val="18"/>
    </w:rPr>
    <w:pPr>
      <w:spacing w:lineRule="auto" w:line="240" w:after="40"/>
    </w:p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1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rPr>
      <w:sz w:val="20"/>
    </w:rPr>
    <w:pPr>
      <w:spacing w:lineRule="auto" w:line="240" w:after="0"/>
    </w:p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1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  <w:rPr>
      <w:bCs/>
      <w:sz w:val="28"/>
      <w:szCs w:val="28"/>
    </w:rPr>
  </w:style>
  <w:style w:type="paragraph" w:styleId="820">
    <w:name w:val="Heading 1"/>
    <w:basedOn w:val="819"/>
    <w:next w:val="819"/>
    <w:qFormat/>
    <w:rPr>
      <w:rFonts w:ascii="BrickNews" w:hAnsi="BrickNews" w:cs="BrickNews"/>
    </w:rPr>
    <w:pPr>
      <w:jc w:val="center"/>
      <w:keepNext/>
      <w:outlineLvl w:val="0"/>
    </w:p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paragraph" w:styleId="824">
    <w:name w:val="Header"/>
    <w:basedOn w:val="819"/>
    <w:link w:val="8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5" w:customStyle="1">
    <w:name w:val="Верхний колонтитул Знак"/>
    <w:link w:val="824"/>
    <w:uiPriority w:val="99"/>
    <w:rPr>
      <w:bCs/>
      <w:sz w:val="28"/>
      <w:szCs w:val="28"/>
    </w:rPr>
  </w:style>
  <w:style w:type="table" w:styleId="826">
    <w:name w:val="Table Grid"/>
    <w:basedOn w:val="822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7">
    <w:name w:val="Footer"/>
    <w:basedOn w:val="819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28">
    <w:name w:val="Body Text"/>
    <w:basedOn w:val="819"/>
    <w:link w:val="829"/>
    <w:unhideWhenUsed/>
    <w:rPr>
      <w:b/>
      <w:bCs w:val="false"/>
      <w:sz w:val="20"/>
      <w:szCs w:val="20"/>
      <w:lang w:eastAsia="ar-SA"/>
    </w:rPr>
    <w:pPr>
      <w:spacing w:after="40"/>
    </w:pPr>
  </w:style>
  <w:style w:type="character" w:styleId="829" w:customStyle="1">
    <w:name w:val="Основной текст Знак"/>
    <w:link w:val="828"/>
    <w:rPr>
      <w:b/>
      <w:lang w:eastAsia="ar-SA"/>
    </w:rPr>
  </w:style>
  <w:style w:type="paragraph" w:styleId="830">
    <w:name w:val="Balloon Text"/>
    <w:basedOn w:val="819"/>
    <w:link w:val="831"/>
    <w:uiPriority w:val="99"/>
    <w:semiHidden/>
    <w:unhideWhenUsed/>
    <w:rPr>
      <w:rFonts w:ascii="Segoe UI" w:hAnsi="Segoe UI"/>
      <w:b/>
      <w:sz w:val="18"/>
      <w:szCs w:val="18"/>
    </w:rPr>
  </w:style>
  <w:style w:type="character" w:styleId="831" w:customStyle="1">
    <w:name w:val="Текст выноски Знак"/>
    <w:link w:val="830"/>
    <w:uiPriority w:val="99"/>
    <w:semiHidden/>
    <w:rPr>
      <w:rFonts w:ascii="Segoe UI" w:hAnsi="Segoe UI" w:cs="Segoe UI"/>
      <w:b/>
      <w:bCs/>
      <w:sz w:val="18"/>
      <w:szCs w:val="18"/>
    </w:rPr>
  </w:style>
  <w:style w:type="character" w:styleId="832">
    <w:name w:val="Hyperlink"/>
    <w:uiPriority w:val="99"/>
    <w:rPr>
      <w:color w:val="0000FF"/>
      <w:u w:val="single"/>
    </w:rPr>
  </w:style>
  <w:style w:type="character" w:styleId="833">
    <w:name w:val="annotation reference"/>
    <w:uiPriority w:val="99"/>
    <w:semiHidden/>
    <w:unhideWhenUsed/>
    <w:rPr>
      <w:sz w:val="16"/>
      <w:szCs w:val="16"/>
    </w:rPr>
  </w:style>
  <w:style w:type="paragraph" w:styleId="834">
    <w:name w:val="annotation text"/>
    <w:basedOn w:val="819"/>
    <w:link w:val="835"/>
    <w:uiPriority w:val="99"/>
    <w:semiHidden/>
    <w:unhideWhenUsed/>
    <w:rPr>
      <w:b/>
      <w:sz w:val="20"/>
      <w:szCs w:val="20"/>
    </w:rPr>
  </w:style>
  <w:style w:type="character" w:styleId="835" w:customStyle="1">
    <w:name w:val="Текст примечания Знак"/>
    <w:link w:val="834"/>
    <w:uiPriority w:val="99"/>
    <w:semiHidden/>
    <w:rPr>
      <w:b/>
      <w:bCs/>
    </w:rPr>
  </w:style>
  <w:style w:type="paragraph" w:styleId="836">
    <w:name w:val="annotation subject"/>
    <w:basedOn w:val="834"/>
    <w:next w:val="834"/>
    <w:link w:val="837"/>
    <w:uiPriority w:val="99"/>
    <w:semiHidden/>
    <w:unhideWhenUsed/>
  </w:style>
  <w:style w:type="character" w:styleId="837" w:customStyle="1">
    <w:name w:val="Тема примечания Знак"/>
    <w:basedOn w:val="835"/>
    <w:link w:val="836"/>
    <w:uiPriority w:val="99"/>
    <w:semiHidden/>
    <w:rPr>
      <w:b/>
      <w:bCs/>
    </w:rPr>
  </w:style>
  <w:style w:type="character" w:styleId="838">
    <w:name w:val="FollowedHyperlink"/>
    <w:uiPriority w:val="99"/>
    <w:semiHidden/>
    <w:unhideWhenUsed/>
    <w:rPr>
      <w:color w:val="954F72"/>
      <w:u w:val="single"/>
    </w:rPr>
  </w:style>
  <w:style w:type="character" w:styleId="839" w:customStyle="1">
    <w:name w:val="Нижний колонтитул Знак"/>
    <w:link w:val="827"/>
    <w:uiPriority w:val="99"/>
    <w:rPr>
      <w:bCs/>
      <w:sz w:val="28"/>
      <w:szCs w:val="28"/>
    </w:rPr>
  </w:style>
  <w:style w:type="paragraph" w:styleId="840" w:customStyle="1">
    <w:name w:val="ConsPlusNormal"/>
    <w:rPr>
      <w:rFonts w:ascii="Times New Roman" w:hAnsi="Times New Roman" w:cs="Times New Roman" w:eastAsia="Arial Unicode MS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1">
    <w:name w:val="Обычный"/>
    <w:next w:val="828"/>
    <w:link w:val="828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EC2C5A5-572F-4A4C-943A-52679C99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>АДМ</Company>
  <DocSecurity>8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</dc:creator>
  <cp:revision>7</cp:revision>
  <dcterms:created xsi:type="dcterms:W3CDTF">2025-10-24T07:53:00Z</dcterms:created>
  <dcterms:modified xsi:type="dcterms:W3CDTF">2026-01-19T11:20:07Z</dcterms:modified>
</cp:coreProperties>
</file>