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7"/>
        <w:gridCol w:w="3298"/>
        <w:gridCol w:w="2942"/>
      </w:tblGrid>
      <w:tr w:rsidR="00977280" w:rsidRPr="00977280" w:rsidTr="00977280">
        <w:tc>
          <w:tcPr>
            <w:tcW w:w="3047" w:type="dxa"/>
          </w:tcPr>
          <w:p w:rsidR="00977280" w:rsidRPr="00977280" w:rsidRDefault="00977280" w:rsidP="00977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977280" w:rsidRPr="00977280" w:rsidRDefault="00977280" w:rsidP="00977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977280" w:rsidRPr="00977280" w:rsidRDefault="00977280" w:rsidP="00977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280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97728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977280" w:rsidRPr="00977280" w:rsidRDefault="00977280" w:rsidP="00977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280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77280">
              <w:rPr>
                <w:rFonts w:ascii="Times New Roman" w:hAnsi="Times New Roman" w:cs="Times New Roman"/>
                <w:sz w:val="28"/>
                <w:szCs w:val="28"/>
              </w:rPr>
              <w:t>диной учетной политике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централизации бюджетного учета</w:t>
            </w:r>
          </w:p>
        </w:tc>
      </w:tr>
    </w:tbl>
    <w:p w:rsidR="00977280" w:rsidRP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280" w:rsidRDefault="00977280" w:rsidP="00977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280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977280" w:rsidRPr="00977280" w:rsidRDefault="00977280" w:rsidP="00977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280">
        <w:rPr>
          <w:rFonts w:ascii="Times New Roman" w:hAnsi="Times New Roman" w:cs="Times New Roman"/>
          <w:b/>
          <w:sz w:val="28"/>
          <w:szCs w:val="28"/>
        </w:rPr>
        <w:t>формирования и использования резервов предстоящих расходов</w:t>
      </w:r>
    </w:p>
    <w:p w:rsid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280" w:rsidRP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280" w:rsidRPr="00977280" w:rsidRDefault="00977280" w:rsidP="00977280">
      <w:pPr>
        <w:numPr>
          <w:ilvl w:val="0"/>
          <w:numId w:val="3"/>
        </w:num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ref_1-3ad3ba7e08d04a"/>
      <w:r w:rsidRPr="00977280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bookmarkEnd w:id="0"/>
    </w:p>
    <w:p w:rsidR="00977280" w:rsidRPr="00977280" w:rsidRDefault="00977280" w:rsidP="00977280">
      <w:pPr>
        <w:numPr>
          <w:ilvl w:val="1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_1-eb6bc5f7d3004a"/>
      <w:r w:rsidRPr="00977280">
        <w:rPr>
          <w:rFonts w:ascii="Times New Roman" w:hAnsi="Times New Roman" w:cs="Times New Roman"/>
          <w:sz w:val="28"/>
          <w:szCs w:val="28"/>
        </w:rPr>
        <w:t>В учете формируются следующие резервы:</w:t>
      </w:r>
      <w:bookmarkEnd w:id="1"/>
    </w:p>
    <w:p w:rsidR="00977280" w:rsidRPr="00977280" w:rsidRDefault="00977280" w:rsidP="00977280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резерв для оплаты отпусков за фактически отработанное время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77280">
        <w:rPr>
          <w:rFonts w:ascii="Times New Roman" w:hAnsi="Times New Roman" w:cs="Times New Roman"/>
          <w:sz w:val="28"/>
          <w:szCs w:val="28"/>
        </w:rPr>
        <w:t>компенсаций за неиспользованный отпуск, включая платежи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77280">
        <w:rPr>
          <w:rFonts w:ascii="Times New Roman" w:hAnsi="Times New Roman" w:cs="Times New Roman"/>
          <w:sz w:val="28"/>
          <w:szCs w:val="28"/>
        </w:rPr>
        <w:t>обязательное социальное страхование;</w:t>
      </w:r>
    </w:p>
    <w:p w:rsidR="00977280" w:rsidRPr="00977280" w:rsidRDefault="00977280" w:rsidP="0097728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резерв для оплаты по обязательствам учреждения, возникающим по фактам хозяйственной деятельности (сделкам, операциям), по начислению которых существует на отчетную дату неопределенность по их размеру ввиду отсутствия первичных учетных документов;</w:t>
      </w:r>
    </w:p>
    <w:p w:rsidR="00977280" w:rsidRPr="00977280" w:rsidRDefault="00977280" w:rsidP="0097728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7280">
        <w:rPr>
          <w:rFonts w:ascii="Times New Roman" w:hAnsi="Times New Roman" w:cs="Times New Roman"/>
          <w:sz w:val="28"/>
          <w:szCs w:val="28"/>
        </w:rPr>
        <w:t>резерв для оплаты за поставленные материальные ценности, сданные работы, предоставленные (потребленные) услуги, обусловленные обязанностью государственного (муниципального) заказчика (заказчика) принять и исполнить денежное обязательство по результатам приемки поставленных товаров (выполненных работ (услуг), в случае оформления документа о приемке не в момент поставки товара (сдачи результатов работ (оказания услуг);</w:t>
      </w:r>
      <w:proofErr w:type="gramEnd"/>
    </w:p>
    <w:p w:rsidR="00977280" w:rsidRPr="00977280" w:rsidRDefault="00977280" w:rsidP="00977280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резерв для оплаты возникающих претензий и исков и пр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77280">
        <w:rPr>
          <w:rFonts w:ascii="Times New Roman" w:hAnsi="Times New Roman" w:cs="Times New Roman"/>
          <w:sz w:val="28"/>
          <w:szCs w:val="28"/>
        </w:rPr>
        <w:t>;</w:t>
      </w:r>
    </w:p>
    <w:p w:rsidR="00977280" w:rsidRPr="00977280" w:rsidRDefault="00977280" w:rsidP="00977280">
      <w:pPr>
        <w:numPr>
          <w:ilvl w:val="1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 xml:space="preserve">резерв предстоящих расходов при заключении концессионных соглашений. </w:t>
      </w:r>
      <w:bookmarkStart w:id="2" w:name="_ref_1-4bb54f341d9942"/>
    </w:p>
    <w:p w:rsidR="00977280" w:rsidRPr="00977280" w:rsidRDefault="00977280" w:rsidP="00977280">
      <w:pPr>
        <w:numPr>
          <w:ilvl w:val="1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Каждый резерв используется только на покрытие тех расходов, в отношении которых он был создан.</w:t>
      </w:r>
      <w:bookmarkStart w:id="3" w:name="_ref_1-078cf6d4e4104f"/>
      <w:bookmarkEnd w:id="2"/>
    </w:p>
    <w:p w:rsidR="00977280" w:rsidRDefault="00977280" w:rsidP="00977280">
      <w:pPr>
        <w:numPr>
          <w:ilvl w:val="1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Признание в учете расходов, в отношении которых сформирован резерв, осуществляется за счет суммы резерва. При его недостаточности соответствующие суммы отражаются в составе расходов текущего периода.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7280" w:rsidRPr="00977280" w:rsidRDefault="00977280" w:rsidP="0097728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77280" w:rsidRPr="00977280" w:rsidRDefault="00977280" w:rsidP="00977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ref_1-68bb75cd0e8f4b"/>
      <w:r w:rsidRPr="00977280">
        <w:rPr>
          <w:rFonts w:ascii="Times New Roman" w:hAnsi="Times New Roman" w:cs="Times New Roman"/>
          <w:b/>
          <w:sz w:val="28"/>
          <w:szCs w:val="28"/>
        </w:rPr>
        <w:t>2. Резерв для оплаты отпусков</w:t>
      </w:r>
      <w:bookmarkEnd w:id="4"/>
      <w:r w:rsidRPr="00977280">
        <w:rPr>
          <w:rFonts w:ascii="Times New Roman" w:hAnsi="Times New Roman" w:cs="Times New Roman"/>
          <w:b/>
          <w:sz w:val="28"/>
          <w:szCs w:val="28"/>
        </w:rPr>
        <w:t xml:space="preserve"> за фактически отработанное время и компенсаций за неиспользованный отпуск, включая платежи на обязательное социальное страхование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7280">
        <w:rPr>
          <w:rFonts w:ascii="Times New Roman" w:hAnsi="Times New Roman" w:cs="Times New Roman"/>
          <w:sz w:val="28"/>
          <w:szCs w:val="28"/>
        </w:rPr>
        <w:t xml:space="preserve">2.1.Оценочное обязательство в виде резерва на оплату отпусков за фактически отработанное время (в т.ч. компенсаций за неиспользованный отпуск и платежей на обязательное социальное страхование),  определяется ежегодно на последний день отчетного года, исходя из данных количества дней неиспользованного отпуска по всем сотрудникам,  </w:t>
      </w:r>
      <w:r w:rsidRPr="00977280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предоставленных кадровой службой Субъекта централизованного учета,  и среднедневного заработка каждого сотрудника. </w:t>
      </w:r>
      <w:proofErr w:type="gramEnd"/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 xml:space="preserve">2.2. Резерв как сумма оплаты отпусков сотрудникам  за  фактически отработанное время, и сумма страховых взносов по единому тарифу и на обязательное социальное страхование от несчастных случаев  на производстве и профессиональных </w:t>
      </w:r>
      <w:bookmarkStart w:id="5" w:name="_GoBack"/>
      <w:r w:rsidRPr="00977280">
        <w:rPr>
          <w:rFonts w:ascii="Times New Roman" w:hAnsi="Times New Roman" w:cs="Times New Roman"/>
          <w:sz w:val="28"/>
          <w:szCs w:val="28"/>
        </w:rPr>
        <w:t>заболеваний.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 xml:space="preserve">Расчет производится персонифицировано </w:t>
      </w:r>
      <w:bookmarkEnd w:id="5"/>
      <w:r w:rsidRPr="00977280">
        <w:rPr>
          <w:rFonts w:ascii="Times New Roman" w:hAnsi="Times New Roman" w:cs="Times New Roman"/>
          <w:sz w:val="28"/>
          <w:szCs w:val="28"/>
        </w:rPr>
        <w:t>по каждому сотруднику: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Резерв отпусков</w:t>
      </w:r>
      <w:proofErr w:type="gramStart"/>
      <w:r w:rsidRPr="00977280">
        <w:rPr>
          <w:rFonts w:ascii="Times New Roman" w:hAnsi="Times New Roman" w:cs="Times New Roman"/>
          <w:sz w:val="28"/>
          <w:szCs w:val="28"/>
        </w:rPr>
        <w:t xml:space="preserve"> = К</w:t>
      </w:r>
      <w:proofErr w:type="gramEnd"/>
      <w:r w:rsidRPr="00977280">
        <w:rPr>
          <w:rFonts w:ascii="Times New Roman" w:hAnsi="Times New Roman" w:cs="Times New Roman"/>
          <w:sz w:val="28"/>
          <w:szCs w:val="28"/>
        </w:rPr>
        <w:t>*ЗП, где: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728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77280">
        <w:rPr>
          <w:rFonts w:ascii="Times New Roman" w:hAnsi="Times New Roman" w:cs="Times New Roman"/>
          <w:sz w:val="28"/>
          <w:szCs w:val="28"/>
        </w:rPr>
        <w:t xml:space="preserve"> – количество неиспользованных сотрудником дней отпуска за период с начала работы на дату расчета (конец года);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ЗП – среднедневной заработок сотрудника, исчисленный по правилам расчета среднего заработка для оплаты отпусков на дату расчета резерва (31 декабря отчетного года).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 xml:space="preserve">2.3. Сумма страховых взносов по единому тарифу и на обязательное социальное страхование от несчастных случаев на  производстве и профессиональных заболеваний рассчитывается как 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Резерв отпусков *N, где N – тариф страховых взносов, установленный на  следующий календарный год.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Сумма страховых взносов рассчитывается по максимальному тарифу страховых взносов без учета предельной величины базы для исчисления страховых взносов.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2.4. Созданный резерв предстоящих расходов должен использоваться на покрытие затрат  по оплате отпусков за фактически отработанное время. Признание в учете расходов, в отношении которых сформирован резерв предстоящих расходов, осуществляется за счет суммы созданного резерва.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Ежегодная корректировка (начисление) оценочных значений резервов отпусков (счет 401.60 в разрезе КОСГУ 211 ,213) производится как: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77280">
        <w:rPr>
          <w:rFonts w:ascii="Times New Roman" w:hAnsi="Times New Roman" w:cs="Times New Roman"/>
          <w:sz w:val="28"/>
          <w:szCs w:val="28"/>
        </w:rPr>
        <w:t>Крез</w:t>
      </w:r>
      <w:proofErr w:type="gramStart"/>
      <w:r w:rsidRPr="0097728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977280">
        <w:rPr>
          <w:rFonts w:ascii="Times New Roman" w:hAnsi="Times New Roman" w:cs="Times New Roman"/>
          <w:sz w:val="28"/>
          <w:szCs w:val="28"/>
        </w:rPr>
        <w:t>.г</w:t>
      </w:r>
      <w:proofErr w:type="spellEnd"/>
      <w:r w:rsidRPr="00977280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977280">
        <w:rPr>
          <w:rFonts w:ascii="Times New Roman" w:hAnsi="Times New Roman" w:cs="Times New Roman"/>
          <w:sz w:val="28"/>
          <w:szCs w:val="28"/>
        </w:rPr>
        <w:t>Кспис</w:t>
      </w:r>
      <w:proofErr w:type="spellEnd"/>
      <w:r w:rsidRPr="00977280">
        <w:rPr>
          <w:rFonts w:ascii="Times New Roman" w:hAnsi="Times New Roman" w:cs="Times New Roman"/>
          <w:sz w:val="28"/>
          <w:szCs w:val="28"/>
        </w:rPr>
        <w:t>.) – К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Где,</w:t>
      </w:r>
      <w:r w:rsidRPr="0097728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77280">
        <w:rPr>
          <w:rFonts w:ascii="Times New Roman" w:hAnsi="Times New Roman" w:cs="Times New Roman"/>
          <w:sz w:val="28"/>
          <w:szCs w:val="28"/>
        </w:rPr>
        <w:t>Крез</w:t>
      </w:r>
      <w:proofErr w:type="gramStart"/>
      <w:r w:rsidRPr="0097728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977280">
        <w:rPr>
          <w:rFonts w:ascii="Times New Roman" w:hAnsi="Times New Roman" w:cs="Times New Roman"/>
          <w:sz w:val="28"/>
          <w:szCs w:val="28"/>
        </w:rPr>
        <w:t>.г</w:t>
      </w:r>
      <w:proofErr w:type="spellEnd"/>
      <w:r w:rsidRPr="00977280">
        <w:rPr>
          <w:rFonts w:ascii="Times New Roman" w:hAnsi="Times New Roman" w:cs="Times New Roman"/>
          <w:sz w:val="28"/>
          <w:szCs w:val="28"/>
        </w:rPr>
        <w:t>. – сумма резервов на 1 января отчетного года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 xml:space="preserve">      </w:t>
      </w:r>
      <w:r w:rsidRPr="0097728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77280">
        <w:rPr>
          <w:rFonts w:ascii="Times New Roman" w:hAnsi="Times New Roman" w:cs="Times New Roman"/>
          <w:sz w:val="28"/>
          <w:szCs w:val="28"/>
        </w:rPr>
        <w:t>Кспис</w:t>
      </w:r>
      <w:proofErr w:type="spellEnd"/>
      <w:r w:rsidRPr="00977280">
        <w:rPr>
          <w:rFonts w:ascii="Times New Roman" w:hAnsi="Times New Roman" w:cs="Times New Roman"/>
          <w:sz w:val="28"/>
          <w:szCs w:val="28"/>
        </w:rPr>
        <w:t>. – сумма зачтенных резервов в течение отчетного года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 xml:space="preserve">  2.5. Расчет оценки обязательств и суммы резерва для оплаты отпусков оформляется отдельным документом произвольной формы, который подписывает лицо, ответственное за ведение учета.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2.6. На счете 0.401.50.000 ведется учет расходов будущих периодов по отпускам сотрудников (и начислениям соответственно) до отработки ими соответствующего периода, за который предоставляется отпуск. Начисления по счету 0. 401.50.000 производятся в последний день соответствующего месяца. При исчислении сумм расходов будущих периодов по отпускам сотрудников полным считается месяц, в котором сотрудник отработал половину или больше половины месяца.</w:t>
      </w:r>
    </w:p>
    <w:p w:rsid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280" w:rsidRP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280" w:rsidRPr="00977280" w:rsidRDefault="00977280" w:rsidP="009772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7280">
        <w:rPr>
          <w:rFonts w:ascii="Times New Roman" w:hAnsi="Times New Roman" w:cs="Times New Roman"/>
          <w:b/>
          <w:sz w:val="28"/>
          <w:szCs w:val="28"/>
        </w:rPr>
        <w:t>Резерв для оплаты обязательств, возникающих по фактам хозяйственной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7280">
        <w:rPr>
          <w:rFonts w:ascii="Times New Roman" w:hAnsi="Times New Roman" w:cs="Times New Roman"/>
          <w:b/>
          <w:sz w:val="28"/>
          <w:szCs w:val="28"/>
        </w:rPr>
        <w:t>деятельности (сделкам, операциям), по начислению которых существует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7280">
        <w:rPr>
          <w:rFonts w:ascii="Times New Roman" w:hAnsi="Times New Roman" w:cs="Times New Roman"/>
          <w:b/>
          <w:sz w:val="28"/>
          <w:szCs w:val="28"/>
        </w:rPr>
        <w:t>на отчетную дату неопределенность по их размеру ввиду отсутствия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7280">
        <w:rPr>
          <w:rFonts w:ascii="Times New Roman" w:hAnsi="Times New Roman" w:cs="Times New Roman"/>
          <w:b/>
          <w:sz w:val="28"/>
          <w:szCs w:val="28"/>
        </w:rPr>
        <w:t>первичных учетных документов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7280">
        <w:rPr>
          <w:rFonts w:ascii="Times New Roman" w:hAnsi="Times New Roman" w:cs="Times New Roman"/>
          <w:sz w:val="28"/>
          <w:szCs w:val="28"/>
        </w:rPr>
        <w:t>3.1 Оценочное обязательство для постановки на учет в виде резерва на оплату обязательств, возникающих по фактам хозяйственной деятельности (сделкам, операциям), по начислению которых существует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77280">
        <w:rPr>
          <w:rFonts w:ascii="Times New Roman" w:hAnsi="Times New Roman" w:cs="Times New Roman"/>
          <w:sz w:val="28"/>
          <w:szCs w:val="28"/>
        </w:rPr>
        <w:t>отчетную дату неопределенность по их размеру ввиду отсутствия первичных учетных документов определяется на основании Расчета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77280">
        <w:rPr>
          <w:rFonts w:ascii="Times New Roman" w:hAnsi="Times New Roman" w:cs="Times New Roman"/>
          <w:sz w:val="28"/>
          <w:szCs w:val="28"/>
        </w:rPr>
        <w:t>обязательствам, возникающим по фактам хозяйственной деятельности (сделкам, операциям), по начислению которых существует на отчетную дату неопределенность по их размеру</w:t>
      </w:r>
      <w:proofErr w:type="gramEnd"/>
      <w:r w:rsidRPr="00977280">
        <w:rPr>
          <w:rFonts w:ascii="Times New Roman" w:hAnsi="Times New Roman" w:cs="Times New Roman"/>
          <w:sz w:val="28"/>
          <w:szCs w:val="28"/>
        </w:rPr>
        <w:t xml:space="preserve"> ввиду отсутствия первичных учетных документов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77280">
        <w:rPr>
          <w:rFonts w:ascii="Times New Roman" w:hAnsi="Times New Roman" w:cs="Times New Roman"/>
          <w:sz w:val="28"/>
          <w:szCs w:val="28"/>
        </w:rPr>
        <w:t>Расчет) по форме, приведенной в </w:t>
      </w:r>
      <w:r>
        <w:rPr>
          <w:rFonts w:ascii="Times New Roman" w:hAnsi="Times New Roman" w:cs="Times New Roman"/>
          <w:sz w:val="28"/>
          <w:szCs w:val="28"/>
        </w:rPr>
        <w:t xml:space="preserve"> Приложении </w:t>
      </w:r>
      <w:r w:rsidRPr="00977280"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3.2 Датой признания резерва в бухгалтерском учете является дата  последнего дня текущего отчетного периода.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3.3. Принятие обязательства, по которым ранее был образован резерв, производится датой поступления оправдательных документов в фактической сумме расходов.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 xml:space="preserve">3.4. В случае если размер отложенных обязательств увеличился или уменьшился, в учете он подлежит корректировке: 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- при уменьшении сумм резерва ранее принятые отложенные обязательства подлежат сторнированию;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- при увеличении сумм резерва ранее принятые отложенные обязательства подлежат доначислению.</w:t>
      </w:r>
    </w:p>
    <w:p w:rsidR="00977280" w:rsidRP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280" w:rsidRPr="00977280" w:rsidRDefault="00977280" w:rsidP="00977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280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77280">
        <w:rPr>
          <w:rFonts w:ascii="Times New Roman" w:hAnsi="Times New Roman" w:cs="Times New Roman"/>
          <w:b/>
          <w:sz w:val="28"/>
          <w:szCs w:val="28"/>
        </w:rPr>
        <w:t>Резерв для оплаты обязательств за поставленные материальные ценности, сданные работы, предоставленные (потребленные) услуги, обусловленные обязанностью государственного заказчика (заказчика) принять и исполнить денежное обязательство по результатам приемки поставленных товаров (выполненных работ (услуг), в случае оформления документа о приемке не в момент поставки товара (сдачи результатов работ (оказания услуг)</w:t>
      </w:r>
      <w:proofErr w:type="gramEnd"/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4.1. Оценочное обязательство для постановки на учет в виде резерва на оплату обязательств, возникающих по результатам приемки поставленных товаров (выполненных работ (услуг), в случае оформления документа о приемке не в момент поставки товара (сдачи результатов работ (оказания услуг)</w:t>
      </w:r>
      <w:proofErr w:type="gramStart"/>
      <w:r w:rsidRPr="009772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772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728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77280">
        <w:rPr>
          <w:rFonts w:ascii="Times New Roman" w:hAnsi="Times New Roman" w:cs="Times New Roman"/>
          <w:sz w:val="28"/>
          <w:szCs w:val="28"/>
        </w:rPr>
        <w:t>существляется :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- в виде суммы, определенной  по времени и по величине согласно условиям государственного контракта (контракта). Датой признания резерва в бухгалтерском учете является  дата окончания отчетного периода.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 xml:space="preserve">- в виде суммы поставленных по результатам приемки товаров (выполненных работ (услуг)). Датой признания резерва в бухгалтерском </w:t>
      </w:r>
      <w:r w:rsidRPr="00977280">
        <w:rPr>
          <w:rFonts w:ascii="Times New Roman" w:hAnsi="Times New Roman" w:cs="Times New Roman"/>
          <w:sz w:val="28"/>
          <w:szCs w:val="28"/>
        </w:rPr>
        <w:lastRenderedPageBreak/>
        <w:t>учете является дата фактической поставки товара (на основании решения об отнесении поступившего имущества к категории НФА комиссии по поступлению и выбытию активов), дата выполнения работ, дата оказания услуг.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4.2 Принятие обязательства, по которым ранее был образован резерв, производится датой поступления оправдательных документов в фактической сумме расходов.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4.3. В случае если размер отложенных обязательств увеличился или уменьшился, в учете он подлежит корректировке: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- при уменьшении сумм резерва ранее принятые отложенные обязательства подлежат сторнированию;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- при увеличении сумм резерва ранее принятые отложенные обязательства подлежат доначислению.</w:t>
      </w:r>
    </w:p>
    <w:p w:rsidR="00977280" w:rsidRP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280" w:rsidRPr="00977280" w:rsidRDefault="00977280" w:rsidP="00977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280">
        <w:rPr>
          <w:rFonts w:ascii="Times New Roman" w:hAnsi="Times New Roman" w:cs="Times New Roman"/>
          <w:b/>
          <w:sz w:val="28"/>
          <w:szCs w:val="28"/>
        </w:rPr>
        <w:t>5. Резерв для оплаты возникающих претензий и исков</w:t>
      </w:r>
    </w:p>
    <w:p w:rsidR="00977280" w:rsidRP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5.1. Резерв по претензиям, искам признается на основании предъявленных претензий, исков в следующем порядке: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- по оспоримым претензионным требованиям, по которым предполагается досудебное урегулирование, - на дату получения претензионного требования;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- по оспоримым исковым требованиям, по которым не предполагается досудебное урегулирование, - на дату уведомления о принятии иска к судебному производству.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5.2. Размер резерва по претензиям, искам признается в полной сумме претензионных требований и исков.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5.3. Фактические расходы учреждения отражаются при поступлении документов, на основании которых: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- если сумма фактических расходов меньше величины созданного резерва, то расходы списываются полностью за счет резерва, а оставшаяся величина резерва списывается на уменьшение расходов текущего года;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- если сумма фактических расходов превышает величину резерва, то расходы относятся за счет резерва в полной сумме созданного резерва, а оставшаяся величина расходом относится за счет расходов текущего финансового года.</w:t>
      </w:r>
    </w:p>
    <w:p w:rsidR="00977280" w:rsidRP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280" w:rsidRPr="00977280" w:rsidRDefault="00977280" w:rsidP="00977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280">
        <w:rPr>
          <w:rFonts w:ascii="Times New Roman" w:hAnsi="Times New Roman" w:cs="Times New Roman"/>
          <w:b/>
          <w:sz w:val="28"/>
          <w:szCs w:val="28"/>
        </w:rPr>
        <w:t>6. Дата признания резерва в бухгалтерском учете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Pr="00977280">
        <w:rPr>
          <w:rFonts w:ascii="Times New Roman" w:hAnsi="Times New Roman" w:cs="Times New Roman"/>
          <w:sz w:val="28"/>
          <w:szCs w:val="28"/>
        </w:rPr>
        <w:t xml:space="preserve">В целях реализации единого подхода при ведении бюджетного (бухгалтерского) учета в Субъектах централизованного учета (ОКУ «Центр бюджетного учета», государственные органы и государственные учреждения, функций по ведению бюджетного (бухгалтерского) учета и формированию бюджетной (бухгалтерской) отчетности, начислению и оплате труда, иных выплат и связанных с ними обязательных платежей в бюджеты бюджетной системы Российской Федерации и в государственные </w:t>
      </w:r>
      <w:r w:rsidRPr="00977280">
        <w:rPr>
          <w:rFonts w:ascii="Times New Roman" w:hAnsi="Times New Roman" w:cs="Times New Roman"/>
          <w:sz w:val="28"/>
          <w:szCs w:val="28"/>
        </w:rPr>
        <w:lastRenderedPageBreak/>
        <w:t>внебюджетные фонды, формированию налоговой отчетности</w:t>
      </w:r>
      <w:proofErr w:type="gramEnd"/>
      <w:r w:rsidRPr="0097728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77280">
        <w:rPr>
          <w:rFonts w:ascii="Times New Roman" w:hAnsi="Times New Roman" w:cs="Times New Roman"/>
          <w:sz w:val="28"/>
          <w:szCs w:val="28"/>
        </w:rPr>
        <w:t xml:space="preserve">которых переданы  в ОКУ «Центр бюджетного учета»),  и применения данного Порядка  формирования и использования резервов предстоящих расходов, для отражения в бюджетном (бухгалтерском) учете первичные учетные документы (далее – ПУД) принимаются равнозначными независимо от того, каким способом они подписаны (ЭП или рукописной подписью)  и каким способом проведена приемка поступление товаров, работ, услуг (ТРУ) (электронно или на бумажном носителе).  </w:t>
      </w:r>
      <w:proofErr w:type="gramEnd"/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6.2. Предельная дата представления ПУД  для отражения в бюджетном (бухгалтерском) учете  – 7-ой рабочий день месяца, следующего за отчетным периодом.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6.3 Дата  закрытия для редактирования операций  по ведению бюджетного (бухгалтерского) учета  текущего отчетного периода (дата отсечения) в информационных базах данных Субъектов централизованного  учета в  программном продукте «1С: Предприятие»  – 8-ой рабочий день месяца, следующего за отчетным периодом.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6.4. При передаче в ОКУ «Центр бюджетного учета» ПУД за текущий отчетный период до даты отсечения:</w:t>
      </w:r>
    </w:p>
    <w:p w:rsidR="00977280" w:rsidRPr="00977280" w:rsidRDefault="00977280" w:rsidP="0097728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при условии, что Субъектом централизованного учета предварительно не был предоставлен Расчет: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 xml:space="preserve">- в ПУД имеются расхождения в датах подписи с временным разрывом между датами поставки-приемки  (например, Поставщик подписал 31 июля и/или фактическое оказание услуг определено временным периодом (с 1 по 31 число), а Заказчик подписал 3 августа), то на основании ПУД в  текущем отчетном периоде (датой передачи (сдачи)/получения/подписания </w:t>
      </w:r>
      <w:proofErr w:type="gramStart"/>
      <w:r w:rsidRPr="00977280">
        <w:rPr>
          <w:rFonts w:ascii="Times New Roman" w:hAnsi="Times New Roman" w:cs="Times New Roman"/>
          <w:sz w:val="28"/>
          <w:szCs w:val="28"/>
        </w:rPr>
        <w:t xml:space="preserve">ТРУ) </w:t>
      </w:r>
      <w:proofErr w:type="gramEnd"/>
      <w:r w:rsidRPr="00977280">
        <w:rPr>
          <w:rFonts w:ascii="Times New Roman" w:hAnsi="Times New Roman" w:cs="Times New Roman"/>
          <w:sz w:val="28"/>
          <w:szCs w:val="28"/>
        </w:rPr>
        <w:t xml:space="preserve">поступление ТРУ (факт поставки) отражается по Кт счета 401.60 как переданные ТРУ, с одновременным отражением  в следующем отчетном периоде (датой подписания Субъектом централизованного  учета) по </w:t>
      </w:r>
      <w:proofErr w:type="spellStart"/>
      <w:r w:rsidRPr="00977280">
        <w:rPr>
          <w:rFonts w:ascii="Times New Roman" w:hAnsi="Times New Roman" w:cs="Times New Roman"/>
          <w:sz w:val="28"/>
          <w:szCs w:val="28"/>
        </w:rPr>
        <w:t>Дб</w:t>
      </w:r>
      <w:proofErr w:type="spellEnd"/>
      <w:r w:rsidRPr="00977280">
        <w:rPr>
          <w:rFonts w:ascii="Times New Roman" w:hAnsi="Times New Roman" w:cs="Times New Roman"/>
          <w:sz w:val="28"/>
          <w:szCs w:val="28"/>
        </w:rPr>
        <w:t xml:space="preserve"> счета 401.60 как полученные ТРУ (факт приемки);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 xml:space="preserve">- в ПУД не имеются расхождения в датах подписи (например, документы от 31 июля подписаны и Поставщиком и Подрядчиком без указания даты под подписью: юридически и Поставщик и Заказчик подписали документ одновременно -31 июля), то в текущем отчетном периоде (датой документа/подписания)  поступление </w:t>
      </w:r>
      <w:proofErr w:type="gramStart"/>
      <w:r w:rsidRPr="00977280">
        <w:rPr>
          <w:rFonts w:ascii="Times New Roman" w:hAnsi="Times New Roman" w:cs="Times New Roman"/>
          <w:sz w:val="28"/>
          <w:szCs w:val="28"/>
        </w:rPr>
        <w:t>ТРУ</w:t>
      </w:r>
      <w:proofErr w:type="gramEnd"/>
      <w:r w:rsidRPr="00977280">
        <w:rPr>
          <w:rFonts w:ascii="Times New Roman" w:hAnsi="Times New Roman" w:cs="Times New Roman"/>
          <w:sz w:val="28"/>
          <w:szCs w:val="28"/>
        </w:rPr>
        <w:t xml:space="preserve"> отражается по счетам 401.20 или 100.00. </w:t>
      </w:r>
    </w:p>
    <w:p w:rsidR="00977280" w:rsidRPr="00977280" w:rsidRDefault="00977280" w:rsidP="0097728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при условии, что Субъектом  централизованного учета предварительно был предоставлен Расчет (Отражается последним днем текущего отчетного периода по Кт счета 401.60):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 xml:space="preserve">- в ПУД имеются расхождения в датах подписи с временным разрывом между отчетными периодами (обязательное условие при предоставлении Расчета), то на основании ПУД отражается в следующем </w:t>
      </w:r>
      <w:r w:rsidRPr="00977280">
        <w:rPr>
          <w:rFonts w:ascii="Times New Roman" w:hAnsi="Times New Roman" w:cs="Times New Roman"/>
          <w:sz w:val="28"/>
          <w:szCs w:val="28"/>
        </w:rPr>
        <w:lastRenderedPageBreak/>
        <w:t xml:space="preserve">отчетном периоде (по дате подписи Субъекта централизованного  учета) по </w:t>
      </w:r>
      <w:proofErr w:type="spellStart"/>
      <w:r w:rsidRPr="00977280">
        <w:rPr>
          <w:rFonts w:ascii="Times New Roman" w:hAnsi="Times New Roman" w:cs="Times New Roman"/>
          <w:sz w:val="28"/>
          <w:szCs w:val="28"/>
        </w:rPr>
        <w:t>Дб</w:t>
      </w:r>
      <w:proofErr w:type="spellEnd"/>
      <w:r w:rsidRPr="00977280">
        <w:rPr>
          <w:rFonts w:ascii="Times New Roman" w:hAnsi="Times New Roman" w:cs="Times New Roman"/>
          <w:sz w:val="28"/>
          <w:szCs w:val="28"/>
        </w:rPr>
        <w:t xml:space="preserve"> счета 401.60 как полученные ТРУ (факт приемки). 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6.5. При передаче в ОКУ «Центр бюджетного учета» ПУД за текущий отчетный период после даты отсечения:</w:t>
      </w:r>
    </w:p>
    <w:p w:rsidR="00977280" w:rsidRPr="00977280" w:rsidRDefault="00977280" w:rsidP="0097728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при условии, что Субъектом централизованного учета предварительно не был предоставлен Расчет (в учете Субъекта централизованного учета  числится договор с определенными по размеру (величине) ежемесячными платежами):</w:t>
      </w: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7280">
        <w:rPr>
          <w:rFonts w:ascii="Times New Roman" w:hAnsi="Times New Roman" w:cs="Times New Roman"/>
          <w:sz w:val="28"/>
          <w:szCs w:val="28"/>
        </w:rPr>
        <w:t xml:space="preserve">- на основании Договора (государственного контракта (контракта) в текущем отчетном периоде (последним днем текущего отчетного периода) ТРУ (факт поставки) отражается по Кт счета 401.60 как переданные ТРУ, с одновременным отражением в следующем отчетном периоде (датой подписания Субъектом централизованного  учета (при условии предоставление ПУД до даты отсечения) по </w:t>
      </w:r>
      <w:proofErr w:type="spellStart"/>
      <w:r w:rsidRPr="00977280">
        <w:rPr>
          <w:rFonts w:ascii="Times New Roman" w:hAnsi="Times New Roman" w:cs="Times New Roman"/>
          <w:sz w:val="28"/>
          <w:szCs w:val="28"/>
        </w:rPr>
        <w:t>Дб</w:t>
      </w:r>
      <w:proofErr w:type="spellEnd"/>
      <w:r w:rsidRPr="00977280">
        <w:rPr>
          <w:rFonts w:ascii="Times New Roman" w:hAnsi="Times New Roman" w:cs="Times New Roman"/>
          <w:sz w:val="28"/>
          <w:szCs w:val="28"/>
        </w:rPr>
        <w:t xml:space="preserve"> счета 401.60 как полученные ТРУ (факт приемки).</w:t>
      </w:r>
      <w:proofErr w:type="gramEnd"/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Указанные ПУД отражаются в следующем отчетном периоде (датой поступления в Учреждение) по счетам 401.20 или 100.00. с одновременным направлением руководителю Субъекта централизованного учета письма о нарушении сроков передачи ПУД, установленных документооборотом.</w:t>
      </w:r>
    </w:p>
    <w:p w:rsidR="00977280" w:rsidRPr="00977280" w:rsidRDefault="00977280" w:rsidP="0097728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при условии, что Субъектом централизованного учета предварительно не был предоставлен Расчет:</w:t>
      </w:r>
    </w:p>
    <w:p w:rsidR="00977280" w:rsidRP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280" w:rsidRPr="00977280" w:rsidRDefault="00977280" w:rsidP="0097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- ПУД отражаются в следующем отчетном периоде (датой поступления в Учреждение) по счетам 401.20 или 100.00. с одновременным направлением руководителю Субъекта централизованного  учета письма о нарушении сроков передачи ПУД, установленных документооборотом.</w:t>
      </w:r>
    </w:p>
    <w:p w:rsid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280" w:rsidRP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1"/>
        <w:gridCol w:w="3021"/>
        <w:gridCol w:w="3225"/>
      </w:tblGrid>
      <w:tr w:rsidR="00977280" w:rsidRPr="00977280" w:rsidTr="00977280">
        <w:tc>
          <w:tcPr>
            <w:tcW w:w="3041" w:type="dxa"/>
          </w:tcPr>
          <w:p w:rsidR="00977280" w:rsidRPr="00977280" w:rsidRDefault="00977280" w:rsidP="00977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977280" w:rsidRPr="00977280" w:rsidRDefault="00977280" w:rsidP="00977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977280" w:rsidRDefault="00977280" w:rsidP="00977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280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977280" w:rsidRPr="00977280" w:rsidRDefault="00977280" w:rsidP="00977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</w:t>
            </w:r>
            <w:r w:rsidRPr="00977280">
              <w:rPr>
                <w:rFonts w:ascii="Times New Roman" w:hAnsi="Times New Roman" w:cs="Times New Roman"/>
                <w:sz w:val="28"/>
                <w:szCs w:val="28"/>
              </w:rPr>
              <w:t>орядку формирования и использования резервов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280">
              <w:rPr>
                <w:rFonts w:ascii="Times New Roman" w:hAnsi="Times New Roman" w:cs="Times New Roman"/>
                <w:sz w:val="28"/>
                <w:szCs w:val="28"/>
              </w:rPr>
              <w:t>предстоящих расходов</w:t>
            </w:r>
          </w:p>
        </w:tc>
      </w:tr>
    </w:tbl>
    <w:p w:rsidR="00977280" w:rsidRP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280" w:rsidRPr="00977280" w:rsidRDefault="00977280" w:rsidP="00977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280">
        <w:rPr>
          <w:rFonts w:ascii="Times New Roman" w:hAnsi="Times New Roman" w:cs="Times New Roman"/>
          <w:b/>
          <w:sz w:val="28"/>
          <w:szCs w:val="28"/>
        </w:rPr>
        <w:t>РАСЧЕТ</w:t>
      </w:r>
    </w:p>
    <w:p w:rsidR="00977280" w:rsidRPr="00977280" w:rsidRDefault="00977280" w:rsidP="00977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280">
        <w:rPr>
          <w:rFonts w:ascii="Times New Roman" w:hAnsi="Times New Roman" w:cs="Times New Roman"/>
          <w:b/>
          <w:sz w:val="28"/>
          <w:szCs w:val="28"/>
        </w:rPr>
        <w:t>по обязательствам, возникающим по фактам хозяйственной деятельности (сделкам, операциям), по начислению которых существует на отчетную дату неопределенность по их размеру ввиду отсутствия первичных учетных документов</w:t>
      </w:r>
    </w:p>
    <w:p w:rsidR="00977280" w:rsidRP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595"/>
        <w:gridCol w:w="2964"/>
        <w:gridCol w:w="2728"/>
      </w:tblGrid>
      <w:tr w:rsidR="00977280" w:rsidRPr="00977280" w:rsidTr="009662EA">
        <w:tc>
          <w:tcPr>
            <w:tcW w:w="3652" w:type="dxa"/>
          </w:tcPr>
          <w:p w:rsidR="00977280" w:rsidRPr="00977280" w:rsidRDefault="00977280" w:rsidP="00977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280">
              <w:rPr>
                <w:rFonts w:ascii="Times New Roman" w:hAnsi="Times New Roman" w:cs="Times New Roman"/>
                <w:sz w:val="28"/>
                <w:szCs w:val="28"/>
              </w:rPr>
              <w:t>Наименование обязательства (с указанием периода и правового основания возникновения)</w:t>
            </w:r>
          </w:p>
        </w:tc>
        <w:tc>
          <w:tcPr>
            <w:tcW w:w="3039" w:type="dxa"/>
          </w:tcPr>
          <w:p w:rsidR="00977280" w:rsidRPr="00977280" w:rsidRDefault="00977280" w:rsidP="00977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280">
              <w:rPr>
                <w:rFonts w:ascii="Times New Roman" w:hAnsi="Times New Roman" w:cs="Times New Roman"/>
                <w:sz w:val="28"/>
                <w:szCs w:val="28"/>
              </w:rPr>
              <w:t>Расчет</w:t>
            </w:r>
          </w:p>
        </w:tc>
        <w:tc>
          <w:tcPr>
            <w:tcW w:w="2773" w:type="dxa"/>
          </w:tcPr>
          <w:p w:rsidR="00977280" w:rsidRPr="00977280" w:rsidRDefault="00977280" w:rsidP="00977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280">
              <w:rPr>
                <w:rFonts w:ascii="Times New Roman" w:hAnsi="Times New Roman" w:cs="Times New Roman"/>
                <w:sz w:val="28"/>
                <w:szCs w:val="28"/>
              </w:rPr>
              <w:t>Сумма к отражению в учете</w:t>
            </w:r>
          </w:p>
        </w:tc>
      </w:tr>
      <w:tr w:rsidR="00977280" w:rsidRPr="00977280" w:rsidTr="009662EA">
        <w:tc>
          <w:tcPr>
            <w:tcW w:w="3652" w:type="dxa"/>
          </w:tcPr>
          <w:p w:rsidR="00977280" w:rsidRPr="00977280" w:rsidRDefault="00977280" w:rsidP="009772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39" w:type="dxa"/>
          </w:tcPr>
          <w:p w:rsidR="00977280" w:rsidRPr="00977280" w:rsidRDefault="00977280" w:rsidP="009772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73" w:type="dxa"/>
          </w:tcPr>
          <w:p w:rsidR="00977280" w:rsidRPr="00977280" w:rsidRDefault="00977280" w:rsidP="009772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7280" w:rsidRPr="00977280" w:rsidTr="009662EA">
        <w:tc>
          <w:tcPr>
            <w:tcW w:w="3652" w:type="dxa"/>
          </w:tcPr>
          <w:p w:rsidR="00977280" w:rsidRPr="00977280" w:rsidRDefault="00977280" w:rsidP="00977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9" w:type="dxa"/>
          </w:tcPr>
          <w:p w:rsidR="00977280" w:rsidRPr="00977280" w:rsidRDefault="00977280" w:rsidP="00977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3" w:type="dxa"/>
          </w:tcPr>
          <w:p w:rsidR="00977280" w:rsidRPr="00977280" w:rsidRDefault="00977280" w:rsidP="00977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7280" w:rsidRP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Ответственный исполнитель  _____________          ____________________</w:t>
      </w:r>
    </w:p>
    <w:p w:rsidR="00977280" w:rsidRP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ab/>
      </w:r>
      <w:r w:rsidRPr="00977280">
        <w:rPr>
          <w:rFonts w:ascii="Times New Roman" w:hAnsi="Times New Roman" w:cs="Times New Roman"/>
          <w:sz w:val="28"/>
          <w:szCs w:val="28"/>
        </w:rPr>
        <w:tab/>
      </w:r>
      <w:r w:rsidRPr="00977280">
        <w:rPr>
          <w:rFonts w:ascii="Times New Roman" w:hAnsi="Times New Roman" w:cs="Times New Roman"/>
          <w:sz w:val="28"/>
          <w:szCs w:val="28"/>
        </w:rPr>
        <w:tab/>
      </w:r>
      <w:r w:rsidRPr="00977280">
        <w:rPr>
          <w:rFonts w:ascii="Times New Roman" w:hAnsi="Times New Roman" w:cs="Times New Roman"/>
          <w:sz w:val="28"/>
          <w:szCs w:val="28"/>
        </w:rPr>
        <w:tab/>
      </w:r>
      <w:r w:rsidRPr="00977280">
        <w:rPr>
          <w:rFonts w:ascii="Times New Roman" w:hAnsi="Times New Roman" w:cs="Times New Roman"/>
          <w:sz w:val="28"/>
          <w:szCs w:val="28"/>
        </w:rPr>
        <w:tab/>
      </w:r>
      <w:r w:rsidRPr="00977280">
        <w:rPr>
          <w:rFonts w:ascii="Times New Roman" w:hAnsi="Times New Roman" w:cs="Times New Roman"/>
          <w:i/>
          <w:sz w:val="28"/>
          <w:szCs w:val="28"/>
        </w:rPr>
        <w:t>Подпись</w:t>
      </w:r>
      <w:r w:rsidRPr="00977280">
        <w:rPr>
          <w:rFonts w:ascii="Times New Roman" w:hAnsi="Times New Roman" w:cs="Times New Roman"/>
          <w:i/>
          <w:sz w:val="28"/>
          <w:szCs w:val="28"/>
        </w:rPr>
        <w:tab/>
      </w:r>
      <w:r w:rsidRPr="00977280">
        <w:rPr>
          <w:rFonts w:ascii="Times New Roman" w:hAnsi="Times New Roman" w:cs="Times New Roman"/>
          <w:i/>
          <w:sz w:val="28"/>
          <w:szCs w:val="28"/>
        </w:rPr>
        <w:tab/>
      </w:r>
      <w:r w:rsidRPr="00977280">
        <w:rPr>
          <w:rFonts w:ascii="Times New Roman" w:hAnsi="Times New Roman" w:cs="Times New Roman"/>
          <w:i/>
          <w:sz w:val="28"/>
          <w:szCs w:val="28"/>
        </w:rPr>
        <w:tab/>
        <w:t>должность, ФИО</w:t>
      </w:r>
    </w:p>
    <w:p w:rsidR="00977280" w:rsidRP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>Руководитель                            _____________          ____________________</w:t>
      </w:r>
    </w:p>
    <w:p w:rsidR="00977280" w:rsidRP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ab/>
      </w:r>
      <w:r w:rsidRPr="00977280">
        <w:rPr>
          <w:rFonts w:ascii="Times New Roman" w:hAnsi="Times New Roman" w:cs="Times New Roman"/>
          <w:sz w:val="28"/>
          <w:szCs w:val="28"/>
        </w:rPr>
        <w:tab/>
      </w:r>
      <w:r w:rsidRPr="00977280">
        <w:rPr>
          <w:rFonts w:ascii="Times New Roman" w:hAnsi="Times New Roman" w:cs="Times New Roman"/>
          <w:sz w:val="28"/>
          <w:szCs w:val="28"/>
        </w:rPr>
        <w:tab/>
      </w:r>
      <w:r w:rsidRPr="00977280">
        <w:rPr>
          <w:rFonts w:ascii="Times New Roman" w:hAnsi="Times New Roman" w:cs="Times New Roman"/>
          <w:sz w:val="28"/>
          <w:szCs w:val="28"/>
        </w:rPr>
        <w:tab/>
      </w:r>
      <w:r w:rsidRPr="00977280">
        <w:rPr>
          <w:rFonts w:ascii="Times New Roman" w:hAnsi="Times New Roman" w:cs="Times New Roman"/>
          <w:sz w:val="28"/>
          <w:szCs w:val="28"/>
        </w:rPr>
        <w:tab/>
      </w:r>
      <w:r w:rsidRPr="00977280">
        <w:rPr>
          <w:rFonts w:ascii="Times New Roman" w:hAnsi="Times New Roman" w:cs="Times New Roman"/>
          <w:i/>
          <w:sz w:val="28"/>
          <w:szCs w:val="28"/>
        </w:rPr>
        <w:t>Подпись</w:t>
      </w:r>
      <w:r w:rsidRPr="00977280">
        <w:rPr>
          <w:rFonts w:ascii="Times New Roman" w:hAnsi="Times New Roman" w:cs="Times New Roman"/>
          <w:i/>
          <w:sz w:val="28"/>
          <w:szCs w:val="28"/>
        </w:rPr>
        <w:tab/>
      </w:r>
      <w:r w:rsidRPr="00977280">
        <w:rPr>
          <w:rFonts w:ascii="Times New Roman" w:hAnsi="Times New Roman" w:cs="Times New Roman"/>
          <w:i/>
          <w:sz w:val="28"/>
          <w:szCs w:val="28"/>
        </w:rPr>
        <w:tab/>
      </w:r>
      <w:r w:rsidRPr="00977280">
        <w:rPr>
          <w:rFonts w:ascii="Times New Roman" w:hAnsi="Times New Roman" w:cs="Times New Roman"/>
          <w:i/>
          <w:sz w:val="28"/>
          <w:szCs w:val="28"/>
        </w:rPr>
        <w:tab/>
        <w:t xml:space="preserve">            ФИО</w:t>
      </w:r>
    </w:p>
    <w:p w:rsidR="00977280" w:rsidRP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280" w:rsidRP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280">
        <w:rPr>
          <w:rFonts w:ascii="Times New Roman" w:hAnsi="Times New Roman" w:cs="Times New Roman"/>
          <w:sz w:val="28"/>
          <w:szCs w:val="28"/>
        </w:rPr>
        <w:tab/>
      </w:r>
      <w:r w:rsidRPr="00977280">
        <w:rPr>
          <w:rFonts w:ascii="Times New Roman" w:hAnsi="Times New Roman" w:cs="Times New Roman"/>
          <w:sz w:val="28"/>
          <w:szCs w:val="28"/>
        </w:rPr>
        <w:tab/>
      </w:r>
      <w:r w:rsidRPr="00977280">
        <w:rPr>
          <w:rFonts w:ascii="Times New Roman" w:hAnsi="Times New Roman" w:cs="Times New Roman"/>
          <w:sz w:val="28"/>
          <w:szCs w:val="28"/>
        </w:rPr>
        <w:tab/>
      </w:r>
      <w:r w:rsidRPr="00977280">
        <w:rPr>
          <w:rFonts w:ascii="Times New Roman" w:hAnsi="Times New Roman" w:cs="Times New Roman"/>
          <w:sz w:val="28"/>
          <w:szCs w:val="28"/>
        </w:rPr>
        <w:tab/>
      </w:r>
      <w:r w:rsidRPr="00977280">
        <w:rPr>
          <w:rFonts w:ascii="Times New Roman" w:hAnsi="Times New Roman" w:cs="Times New Roman"/>
          <w:sz w:val="28"/>
          <w:szCs w:val="28"/>
        </w:rPr>
        <w:tab/>
      </w:r>
      <w:r w:rsidRPr="00977280">
        <w:rPr>
          <w:rFonts w:ascii="Times New Roman" w:hAnsi="Times New Roman" w:cs="Times New Roman"/>
          <w:sz w:val="28"/>
          <w:szCs w:val="28"/>
        </w:rPr>
        <w:tab/>
      </w:r>
      <w:r w:rsidRPr="00977280">
        <w:rPr>
          <w:rFonts w:ascii="Times New Roman" w:hAnsi="Times New Roman" w:cs="Times New Roman"/>
          <w:sz w:val="28"/>
          <w:szCs w:val="28"/>
        </w:rPr>
        <w:tab/>
      </w:r>
      <w:r w:rsidRPr="00977280">
        <w:rPr>
          <w:rFonts w:ascii="Times New Roman" w:hAnsi="Times New Roman" w:cs="Times New Roman"/>
          <w:sz w:val="28"/>
          <w:szCs w:val="28"/>
        </w:rPr>
        <w:tab/>
      </w:r>
      <w:r w:rsidRPr="00977280">
        <w:rPr>
          <w:rFonts w:ascii="Times New Roman" w:hAnsi="Times New Roman" w:cs="Times New Roman"/>
          <w:sz w:val="28"/>
          <w:szCs w:val="28"/>
        </w:rPr>
        <w:tab/>
        <w:t>М.П.</w:t>
      </w:r>
    </w:p>
    <w:p w:rsidR="00977280" w:rsidRP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7280">
        <w:rPr>
          <w:rFonts w:ascii="Times New Roman" w:hAnsi="Times New Roman" w:cs="Times New Roman"/>
          <w:i/>
          <w:sz w:val="28"/>
          <w:szCs w:val="28"/>
        </w:rPr>
        <w:t>Пример заполнения табличной части документа:</w:t>
      </w:r>
    </w:p>
    <w:tbl>
      <w:tblPr>
        <w:tblStyle w:val="a3"/>
        <w:tblW w:w="0" w:type="auto"/>
        <w:tblLook w:val="04A0"/>
      </w:tblPr>
      <w:tblGrid>
        <w:gridCol w:w="3579"/>
        <w:gridCol w:w="3872"/>
        <w:gridCol w:w="1836"/>
      </w:tblGrid>
      <w:tr w:rsidR="00977280" w:rsidRPr="00977280" w:rsidTr="009662EA">
        <w:tc>
          <w:tcPr>
            <w:tcW w:w="3652" w:type="dxa"/>
          </w:tcPr>
          <w:p w:rsidR="00977280" w:rsidRPr="00977280" w:rsidRDefault="00977280" w:rsidP="009772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7280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обязательства (с указанием периода  и правового основания возникновения)</w:t>
            </w:r>
          </w:p>
        </w:tc>
        <w:tc>
          <w:tcPr>
            <w:tcW w:w="3969" w:type="dxa"/>
          </w:tcPr>
          <w:p w:rsidR="00977280" w:rsidRPr="00977280" w:rsidRDefault="00977280" w:rsidP="009772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7280">
              <w:rPr>
                <w:rFonts w:ascii="Times New Roman" w:hAnsi="Times New Roman" w:cs="Times New Roman"/>
                <w:i/>
                <w:sz w:val="28"/>
                <w:szCs w:val="28"/>
              </w:rPr>
              <w:t>Расчет</w:t>
            </w:r>
          </w:p>
        </w:tc>
        <w:tc>
          <w:tcPr>
            <w:tcW w:w="1843" w:type="dxa"/>
          </w:tcPr>
          <w:p w:rsidR="00977280" w:rsidRPr="00977280" w:rsidRDefault="00977280" w:rsidP="009772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7280">
              <w:rPr>
                <w:rFonts w:ascii="Times New Roman" w:hAnsi="Times New Roman" w:cs="Times New Roman"/>
                <w:i/>
                <w:sz w:val="28"/>
                <w:szCs w:val="28"/>
              </w:rPr>
              <w:t>Сумма к отражению в учете</w:t>
            </w:r>
          </w:p>
        </w:tc>
      </w:tr>
      <w:tr w:rsidR="00977280" w:rsidRPr="00977280" w:rsidTr="009662EA">
        <w:tc>
          <w:tcPr>
            <w:tcW w:w="3652" w:type="dxa"/>
          </w:tcPr>
          <w:p w:rsidR="00977280" w:rsidRPr="00977280" w:rsidRDefault="00977280" w:rsidP="009772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7280">
              <w:rPr>
                <w:rFonts w:ascii="Times New Roman" w:hAnsi="Times New Roman" w:cs="Times New Roman"/>
                <w:i/>
                <w:sz w:val="28"/>
                <w:szCs w:val="28"/>
              </w:rPr>
              <w:t>Электроэнергия за май по договору № ХХХ от ХХ.ХХ</w:t>
            </w:r>
            <w:proofErr w:type="gramStart"/>
            <w:r w:rsidRPr="00977280">
              <w:rPr>
                <w:rFonts w:ascii="Times New Roman" w:hAnsi="Times New Roman" w:cs="Times New Roman"/>
                <w:i/>
                <w:sz w:val="28"/>
                <w:szCs w:val="28"/>
              </w:rPr>
              <w:t>.Х</w:t>
            </w:r>
            <w:proofErr w:type="gramEnd"/>
            <w:r w:rsidRPr="00977280">
              <w:rPr>
                <w:rFonts w:ascii="Times New Roman" w:hAnsi="Times New Roman" w:cs="Times New Roman"/>
                <w:i/>
                <w:sz w:val="28"/>
                <w:szCs w:val="28"/>
              </w:rPr>
              <w:t>ХХХ</w:t>
            </w:r>
          </w:p>
        </w:tc>
        <w:tc>
          <w:tcPr>
            <w:tcW w:w="3969" w:type="dxa"/>
          </w:tcPr>
          <w:p w:rsidR="00977280" w:rsidRPr="00977280" w:rsidRDefault="00977280" w:rsidP="009772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7280">
              <w:rPr>
                <w:rFonts w:ascii="Times New Roman" w:hAnsi="Times New Roman" w:cs="Times New Roman"/>
                <w:i/>
                <w:sz w:val="28"/>
                <w:szCs w:val="28"/>
              </w:rPr>
              <w:t>1500 КВт/</w:t>
            </w:r>
            <w:proofErr w:type="gramStart"/>
            <w:r w:rsidRPr="00977280">
              <w:rPr>
                <w:rFonts w:ascii="Times New Roman" w:hAnsi="Times New Roman" w:cs="Times New Roman"/>
                <w:i/>
                <w:sz w:val="28"/>
                <w:szCs w:val="28"/>
              </w:rPr>
              <w:t>ч</w:t>
            </w:r>
            <w:proofErr w:type="gramEnd"/>
            <w:r w:rsidRPr="0097728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(подано за расчётный период в снабжающую организацию)* 5,06 (цена в предыдущем месяце) </w:t>
            </w:r>
          </w:p>
        </w:tc>
        <w:tc>
          <w:tcPr>
            <w:tcW w:w="1843" w:type="dxa"/>
          </w:tcPr>
          <w:p w:rsidR="00977280" w:rsidRPr="00977280" w:rsidRDefault="00977280" w:rsidP="009772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7280">
              <w:rPr>
                <w:rFonts w:ascii="Times New Roman" w:hAnsi="Times New Roman" w:cs="Times New Roman"/>
                <w:i/>
                <w:sz w:val="28"/>
                <w:szCs w:val="28"/>
              </w:rPr>
              <w:t>7 590,00 руб.</w:t>
            </w:r>
          </w:p>
        </w:tc>
      </w:tr>
      <w:tr w:rsidR="00977280" w:rsidRPr="00977280" w:rsidTr="009662EA">
        <w:tc>
          <w:tcPr>
            <w:tcW w:w="3652" w:type="dxa"/>
          </w:tcPr>
          <w:p w:rsidR="00977280" w:rsidRPr="00977280" w:rsidRDefault="00977280" w:rsidP="00977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77280" w:rsidRPr="00977280" w:rsidRDefault="00977280" w:rsidP="00977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77280" w:rsidRPr="00977280" w:rsidRDefault="00977280" w:rsidP="00977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7280" w:rsidRPr="00977280" w:rsidRDefault="00977280" w:rsidP="00977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93F" w:rsidRPr="00977280" w:rsidRDefault="00A7493F" w:rsidP="00977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7493F" w:rsidRPr="00977280" w:rsidSect="00352AD6">
      <w:headerReference w:type="default" r:id="rId7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B0A" w:rsidRDefault="00DA7B0A" w:rsidP="00352AD6">
      <w:pPr>
        <w:spacing w:after="0" w:line="240" w:lineRule="auto"/>
      </w:pPr>
      <w:r>
        <w:separator/>
      </w:r>
    </w:p>
  </w:endnote>
  <w:endnote w:type="continuationSeparator" w:id="0">
    <w:p w:rsidR="00DA7B0A" w:rsidRDefault="00DA7B0A" w:rsidP="00352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B0A" w:rsidRDefault="00DA7B0A" w:rsidP="00352AD6">
      <w:pPr>
        <w:spacing w:after="0" w:line="240" w:lineRule="auto"/>
      </w:pPr>
      <w:r>
        <w:separator/>
      </w:r>
    </w:p>
  </w:footnote>
  <w:footnote w:type="continuationSeparator" w:id="0">
    <w:p w:rsidR="00DA7B0A" w:rsidRDefault="00DA7B0A" w:rsidP="00352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89041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52AD6" w:rsidRPr="00352AD6" w:rsidRDefault="00303F2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2A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52AD6" w:rsidRPr="00352AD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52A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6910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352AD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52AD6" w:rsidRDefault="00352A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>
    <w:nsid w:val="0AD6576E"/>
    <w:multiLevelType w:val="hybridMultilevel"/>
    <w:tmpl w:val="032AB91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4F3F770A"/>
    <w:multiLevelType w:val="multilevel"/>
    <w:tmpl w:val="5200573E"/>
    <w:lvl w:ilvl="0">
      <w:start w:val="1"/>
      <w:numFmt w:val="decimal"/>
      <w:suff w:val="space"/>
      <w:lvlText w:val="%1."/>
      <w:lvlJc w:val="left"/>
      <w:rPr>
        <w:rFonts w:hint="default"/>
      </w:rPr>
    </w:lvl>
    <w:lvl w:ilvl="1">
      <w:start w:val="1"/>
      <w:numFmt w:val="decimal"/>
      <w:suff w:val="space"/>
      <w:lvlText w:val="%1.%2."/>
      <w:lvlJc w:val="left"/>
      <w:rPr>
        <w:rFonts w:hint="default"/>
      </w:rPr>
    </w:lvl>
    <w:lvl w:ilvl="2">
      <w:start w:val="1"/>
      <w:numFmt w:val="decimal"/>
      <w:suff w:val="space"/>
      <w:lvlText w:val="%1.%2.%3."/>
      <w:lvlJc w:val="left"/>
      <w:rPr>
        <w:rFonts w:hint="default"/>
      </w:rPr>
    </w:lvl>
    <w:lvl w:ilvl="3">
      <w:start w:val="1"/>
      <w:numFmt w:val="decimal"/>
      <w:suff w:val="space"/>
      <w:lvlText w:val="%1.%2.%3.%4."/>
      <w:lvlJc w:val="left"/>
      <w:rPr>
        <w:rFonts w:hint="default"/>
      </w:rPr>
    </w:lvl>
    <w:lvl w:ilvl="4">
      <w:start w:val="1"/>
      <w:numFmt w:val="deci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280"/>
    <w:rsid w:val="00303F25"/>
    <w:rsid w:val="00352AD6"/>
    <w:rsid w:val="00626910"/>
    <w:rsid w:val="006E0810"/>
    <w:rsid w:val="008418D9"/>
    <w:rsid w:val="008476C9"/>
    <w:rsid w:val="008C23F1"/>
    <w:rsid w:val="00977280"/>
    <w:rsid w:val="00A7493F"/>
    <w:rsid w:val="00DA7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7728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52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2AD6"/>
  </w:style>
  <w:style w:type="paragraph" w:styleId="a7">
    <w:name w:val="footer"/>
    <w:basedOn w:val="a"/>
    <w:link w:val="a8"/>
    <w:uiPriority w:val="99"/>
    <w:unhideWhenUsed/>
    <w:rsid w:val="00352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2A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7728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52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2AD6"/>
  </w:style>
  <w:style w:type="paragraph" w:styleId="a7">
    <w:name w:val="footer"/>
    <w:basedOn w:val="a"/>
    <w:link w:val="a8"/>
    <w:uiPriority w:val="99"/>
    <w:unhideWhenUsed/>
    <w:rsid w:val="00352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2A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2082</Words>
  <Characters>11871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Красникова Наталья Петровна</dc:creator>
  <cp:lastModifiedBy>Rigenkova_N</cp:lastModifiedBy>
  <cp:revision>2</cp:revision>
  <dcterms:created xsi:type="dcterms:W3CDTF">2023-12-25T16:51:00Z</dcterms:created>
  <dcterms:modified xsi:type="dcterms:W3CDTF">2023-12-25T16:51:00Z</dcterms:modified>
</cp:coreProperties>
</file>