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43" w:rsidRPr="005A21F5" w:rsidRDefault="00613C43" w:rsidP="00613C43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9854D9" w:rsidRPr="009854D9" w:rsidRDefault="009854D9" w:rsidP="009854D9">
      <w:pPr>
        <w:pStyle w:val="21"/>
        <w:autoSpaceDE w:val="0"/>
        <w:ind w:firstLine="709"/>
      </w:pPr>
      <w:r w:rsidRPr="009854D9">
        <w:rPr>
          <w:sz w:val="28"/>
          <w:szCs w:val="28"/>
        </w:rPr>
        <w:t>Курская область расположена в бассейнах рек Днепр и Дон (соответственно 78 % и 22 % территории области). Всего в области насчитывается 902 водотока (постоянных и временных), из которых 188 имеют длину более 10 км.</w:t>
      </w:r>
    </w:p>
    <w:p w:rsidR="009854D9" w:rsidRPr="009854D9" w:rsidRDefault="009854D9" w:rsidP="009854D9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D9">
        <w:rPr>
          <w:rFonts w:ascii="Times New Roman" w:hAnsi="Times New Roman" w:cs="Times New Roman"/>
          <w:sz w:val="28"/>
          <w:szCs w:val="28"/>
        </w:rPr>
        <w:t xml:space="preserve">Из наиболее значимых рек к бассейну Днепра относятся Сейм (приток Десны) со своими притоками </w:t>
      </w:r>
      <w:proofErr w:type="spellStart"/>
      <w:r w:rsidRPr="009854D9">
        <w:rPr>
          <w:rFonts w:ascii="Times New Roman" w:hAnsi="Times New Roman" w:cs="Times New Roman"/>
          <w:sz w:val="28"/>
          <w:szCs w:val="28"/>
        </w:rPr>
        <w:t>Тускарь</w:t>
      </w:r>
      <w:proofErr w:type="spellEnd"/>
      <w:r w:rsidRPr="009854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54D9">
        <w:rPr>
          <w:rFonts w:ascii="Times New Roman" w:hAnsi="Times New Roman" w:cs="Times New Roman"/>
          <w:sz w:val="28"/>
          <w:szCs w:val="28"/>
        </w:rPr>
        <w:t>Свапа</w:t>
      </w:r>
      <w:proofErr w:type="spellEnd"/>
      <w:r w:rsidRPr="009854D9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9854D9">
        <w:rPr>
          <w:rFonts w:ascii="Times New Roman" w:hAnsi="Times New Roman" w:cs="Times New Roman"/>
          <w:sz w:val="28"/>
          <w:szCs w:val="28"/>
        </w:rPr>
        <w:t>Псел</w:t>
      </w:r>
      <w:proofErr w:type="spellEnd"/>
      <w:r w:rsidRPr="009854D9">
        <w:rPr>
          <w:rFonts w:ascii="Times New Roman" w:hAnsi="Times New Roman" w:cs="Times New Roman"/>
          <w:sz w:val="28"/>
          <w:szCs w:val="28"/>
        </w:rPr>
        <w:t xml:space="preserve"> (приток Днепра). Бассейн Дона представляют верховья рек Тим, </w:t>
      </w:r>
      <w:proofErr w:type="spellStart"/>
      <w:r w:rsidRPr="009854D9">
        <w:rPr>
          <w:rFonts w:ascii="Times New Roman" w:hAnsi="Times New Roman" w:cs="Times New Roman"/>
          <w:sz w:val="28"/>
          <w:szCs w:val="28"/>
        </w:rPr>
        <w:t>Кшени</w:t>
      </w:r>
      <w:proofErr w:type="spellEnd"/>
      <w:r w:rsidRPr="009854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4D9">
        <w:rPr>
          <w:rFonts w:ascii="Times New Roman" w:hAnsi="Times New Roman" w:cs="Times New Roman"/>
          <w:sz w:val="28"/>
          <w:szCs w:val="28"/>
        </w:rPr>
        <w:t>Олым</w:t>
      </w:r>
      <w:proofErr w:type="spellEnd"/>
      <w:r w:rsidRPr="009854D9">
        <w:rPr>
          <w:rFonts w:ascii="Times New Roman" w:hAnsi="Times New Roman" w:cs="Times New Roman"/>
          <w:sz w:val="28"/>
          <w:szCs w:val="28"/>
        </w:rPr>
        <w:t xml:space="preserve"> (все – притоки реки Сосны), а также Оскол (приток реки Северский Донец). Крупные озера и болота на территории области отсутствуют.</w:t>
      </w:r>
    </w:p>
    <w:p w:rsidR="009854D9" w:rsidRPr="009854D9" w:rsidRDefault="009854D9" w:rsidP="009854D9">
      <w:pPr>
        <w:widowControl w:val="0"/>
        <w:autoSpaceDE w:val="0"/>
        <w:ind w:firstLine="709"/>
        <w:jc w:val="both"/>
      </w:pPr>
    </w:p>
    <w:p w:rsidR="009854D9" w:rsidRPr="009854D9" w:rsidRDefault="009854D9" w:rsidP="009854D9">
      <w:pPr>
        <w:pStyle w:val="FORMATTEX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proofErr w:type="gramStart"/>
      <w:r w:rsidRPr="009854D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Контроль гидрохимического состояния поверхностных вод осуществляется по 36-ти показателям: температура, запах, прозрачность, цветность, активная реакция среды (</w:t>
      </w:r>
      <w:proofErr w:type="spellStart"/>
      <w:r w:rsidRPr="009854D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рН</w:t>
      </w:r>
      <w:proofErr w:type="spellEnd"/>
      <w:r w:rsidRPr="009854D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), взвешенные вещества, растворенный кислород, степень насыщения растворенного кислорода, минерализация (сухой остаток), хлорид-ион, сульфат-ион, жесткость общая, магний, БПК (биохимическое потребление кислорода), азот аммонийный, нитрит-ион, нитрат-ион, фосфат-ион, железо общее, ХПК (химическое потребление кислорода), нефтепродукты, фенолы, СПАВ (синтетические поверхностные </w:t>
      </w:r>
      <w:proofErr w:type="spellStart"/>
      <w:r w:rsidRPr="009854D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анионоактивные</w:t>
      </w:r>
      <w:proofErr w:type="spellEnd"/>
      <w:r w:rsidRPr="009854D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вещества), медь, цинк, кальций, гидрокарбонат-ион, хром</w:t>
      </w:r>
      <w:proofErr w:type="gramEnd"/>
      <w:r w:rsidRPr="009854D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9854D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6-валентный, хром 3-валентный, хром общий, марганец, фторид-ион, алюминий, кобальт, никель, сероводород.</w:t>
      </w:r>
      <w:proofErr w:type="gramEnd"/>
    </w:p>
    <w:p w:rsidR="009854D9" w:rsidRPr="009854D9" w:rsidRDefault="009854D9" w:rsidP="009854D9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54D9" w:rsidRPr="009854D9" w:rsidRDefault="009854D9" w:rsidP="009854D9">
      <w:pPr>
        <w:pStyle w:val="xl34"/>
        <w:overflowPunct w:val="0"/>
        <w:autoSpaceDE w:val="0"/>
        <w:spacing w:before="0" w:after="0"/>
        <w:ind w:firstLine="709"/>
        <w:jc w:val="both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9854D9">
        <w:rPr>
          <w:rFonts w:eastAsia="Times New Roman"/>
          <w:b/>
          <w:color w:val="000000"/>
          <w:sz w:val="28"/>
          <w:szCs w:val="28"/>
        </w:rPr>
        <w:t>Качество поверхностных водных объектов</w:t>
      </w:r>
    </w:p>
    <w:p w:rsidR="009854D9" w:rsidRPr="009854D9" w:rsidRDefault="009854D9" w:rsidP="009854D9">
      <w:pPr>
        <w:pStyle w:val="xl34"/>
        <w:overflowPunct w:val="0"/>
        <w:autoSpaceDE w:val="0"/>
        <w:spacing w:before="0" w:after="0"/>
        <w:ind w:firstLine="709"/>
        <w:jc w:val="both"/>
        <w:textAlignment w:val="baseline"/>
        <w:rPr>
          <w:rFonts w:eastAsia="SimSun"/>
          <w:kern w:val="2"/>
          <w:sz w:val="28"/>
          <w:szCs w:val="28"/>
          <w:lang w:bidi="hi-IN"/>
        </w:rPr>
      </w:pPr>
    </w:p>
    <w:p w:rsidR="009854D9" w:rsidRPr="009854D9" w:rsidRDefault="009854D9" w:rsidP="009854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D9">
        <w:rPr>
          <w:rFonts w:ascii="Times New Roman" w:hAnsi="Times New Roman" w:cs="Times New Roman"/>
          <w:sz w:val="28"/>
          <w:szCs w:val="28"/>
        </w:rPr>
        <w:t xml:space="preserve">Качественный состав водных объектов на территории Курской области в первую очередь зависит от природных условий и состава </w:t>
      </w:r>
      <w:proofErr w:type="spellStart"/>
      <w:r w:rsidRPr="009854D9">
        <w:rPr>
          <w:rFonts w:ascii="Times New Roman" w:hAnsi="Times New Roman" w:cs="Times New Roman"/>
          <w:sz w:val="28"/>
          <w:szCs w:val="28"/>
        </w:rPr>
        <w:t>почво-грунтов</w:t>
      </w:r>
      <w:proofErr w:type="spellEnd"/>
      <w:r w:rsidRPr="009854D9">
        <w:rPr>
          <w:rFonts w:ascii="Times New Roman" w:hAnsi="Times New Roman" w:cs="Times New Roman"/>
          <w:sz w:val="28"/>
          <w:szCs w:val="28"/>
        </w:rPr>
        <w:t>. Превышение ПДК в водных объектах по железу, меди, марганцу является природным фактором, который и определяет в целом класс качества поверхностных вод. И эти факторы в конечном итоге оказываются определяющими при общей оценке качества поверхностных вод. Причём, нередко превышают влияние сбросов сточных вод предприятиями промышленности и жилищно-коммунального хозяйства, а также неорганизованное поступление загрязняющих веществ с поверхности водосбора.</w:t>
      </w:r>
    </w:p>
    <w:p w:rsidR="009854D9" w:rsidRPr="009854D9" w:rsidRDefault="009854D9" w:rsidP="009854D9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Наблюдения за химическим составом поверхностных вод Курской области (бассейн р. Днепр) осуществлялись комплексной лабораторией ФГБУ «</w:t>
      </w:r>
      <w:proofErr w:type="gram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Центрально-Черноземное</w:t>
      </w:r>
      <w:proofErr w:type="gram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УГМС» в 21 створе, 12 пунктах</w:t>
      </w:r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 xml:space="preserve">(рис. 5.2). Отбор проб производился: </w:t>
      </w:r>
    </w:p>
    <w:p w:rsidR="009854D9" w:rsidRPr="009854D9" w:rsidRDefault="009854D9" w:rsidP="009854D9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 реках Сейм и </w:t>
      </w:r>
      <w:proofErr w:type="spell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Тускарь</w:t>
      </w:r>
      <w:proofErr w:type="spell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 </w:t>
      </w:r>
      <w:proofErr w:type="gram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</w:t>
      </w:r>
      <w:proofErr w:type="gram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Курск ежемесячно; </w:t>
      </w:r>
    </w:p>
    <w:p w:rsidR="009854D9" w:rsidRPr="009854D9" w:rsidRDefault="009854D9" w:rsidP="009854D9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 реках Сейм у гг. Льгов, Рыльск, р.п. </w:t>
      </w:r>
      <w:proofErr w:type="gram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Теткино; </w:t>
      </w:r>
      <w:proofErr w:type="spell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Тускарь</w:t>
      </w:r>
      <w:proofErr w:type="spell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 м. Свобода; </w:t>
      </w:r>
      <w:proofErr w:type="spell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Реут</w:t>
      </w:r>
      <w:proofErr w:type="spell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 г. Курчатов; </w:t>
      </w:r>
      <w:proofErr w:type="spell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Свапа</w:t>
      </w:r>
      <w:proofErr w:type="spell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 сл. Михайловка и г. Дмитриев; Суджа у сл. </w:t>
      </w:r>
      <w:proofErr w:type="spell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Замостье</w:t>
      </w:r>
      <w:proofErr w:type="spell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; </w:t>
      </w:r>
      <w:proofErr w:type="spell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Псел</w:t>
      </w:r>
      <w:proofErr w:type="spell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 г. </w:t>
      </w:r>
      <w:proofErr w:type="spell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Обоянь</w:t>
      </w:r>
      <w:proofErr w:type="spell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с. </w:t>
      </w:r>
      <w:proofErr w:type="spell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Горналь</w:t>
      </w:r>
      <w:proofErr w:type="spell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в основные гидрологические фазы, 4-7 раз в году (на подъеме, пике и спаде половодья, в летне-осеннюю межень, перед ледоставом и в зимнюю межень). </w:t>
      </w:r>
      <w:proofErr w:type="gramEnd"/>
    </w:p>
    <w:p w:rsidR="009854D9" w:rsidRPr="009854D9" w:rsidRDefault="009854D9" w:rsidP="009854D9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В 2023 году </w:t>
      </w:r>
      <w:proofErr w:type="gram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связи с напряженной военной ситуацией на приграничных с Украиной территориях приостановлен отбор проб воды до стабилизации</w:t>
      </w:r>
      <w:proofErr w:type="gram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обстановки на р. Сейм у г. Рыльск, р. Сейм у р.п. </w:t>
      </w:r>
      <w:proofErr w:type="gram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Теткино, р. </w:t>
      </w:r>
      <w:proofErr w:type="spell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Псел</w:t>
      </w:r>
      <w:proofErr w:type="spell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 с. </w:t>
      </w:r>
      <w:proofErr w:type="spell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Горналь</w:t>
      </w:r>
      <w:proofErr w:type="spell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р. Суджа у сл. </w:t>
      </w:r>
      <w:proofErr w:type="spell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Замостье</w:t>
      </w:r>
      <w:proofErr w:type="spell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что не позволило определить качество воды рек в отмеченных пунктах мониторинга загрязнения поверхностных вод.</w:t>
      </w:r>
      <w:proofErr w:type="gramEnd"/>
    </w:p>
    <w:p w:rsidR="009854D9" w:rsidRPr="009854D9" w:rsidRDefault="009854D9" w:rsidP="009854D9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Наибольшее влияние на гидрохимический режим водных объектов бассейна р. Днепр по-прежнему оказывают предприятия коммунальной, сельскохозяйственной, машиностроения, металлообработки, пищевой и других отраслей промышленности.</w:t>
      </w:r>
    </w:p>
    <w:p w:rsidR="009854D9" w:rsidRPr="009854D9" w:rsidRDefault="009854D9" w:rsidP="009854D9">
      <w:pPr>
        <w:jc w:val="center"/>
        <w:rPr>
          <w:rFonts w:ascii="Times New Roman" w:hAnsi="Times New Roman" w:cs="Times New Roman"/>
          <w:color w:val="000000"/>
        </w:rPr>
      </w:pPr>
      <w:r w:rsidRPr="009854D9">
        <w:rPr>
          <w:b/>
          <w:noProof/>
          <w:color w:val="000000"/>
          <w:sz w:val="22"/>
          <w:szCs w:val="22"/>
          <w:lang w:eastAsia="ru-RU" w:bidi="ar-SA"/>
        </w:rPr>
        <w:drawing>
          <wp:inline distT="0" distB="0" distL="0" distR="0">
            <wp:extent cx="5943600" cy="32670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" t="-18" r="-9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4D9" w:rsidRPr="009854D9" w:rsidRDefault="009854D9" w:rsidP="009854D9">
      <w:pPr>
        <w:jc w:val="center"/>
      </w:pPr>
      <w:r w:rsidRPr="009854D9">
        <w:rPr>
          <w:rFonts w:ascii="Times New Roman" w:hAnsi="Times New Roman" w:cs="Times New Roman"/>
          <w:color w:val="000000"/>
        </w:rPr>
        <w:t>Рис. 5.2. Пункты наблюдения за химическим составом</w:t>
      </w:r>
    </w:p>
    <w:p w:rsidR="009854D9" w:rsidRPr="009854D9" w:rsidRDefault="009854D9" w:rsidP="009854D9">
      <w:pPr>
        <w:jc w:val="center"/>
        <w:rPr>
          <w:rFonts w:ascii="Times New Roman" w:hAnsi="Times New Roman" w:cs="Times New Roman"/>
          <w:color w:val="000000"/>
        </w:rPr>
      </w:pPr>
      <w:r w:rsidRPr="009854D9">
        <w:rPr>
          <w:rFonts w:ascii="Times New Roman" w:hAnsi="Times New Roman" w:cs="Times New Roman"/>
          <w:color w:val="000000"/>
        </w:rPr>
        <w:t>поверхностных вод Курской области (бассейн р. Днепр)</w:t>
      </w:r>
    </w:p>
    <w:p w:rsidR="009854D9" w:rsidRPr="009854D9" w:rsidRDefault="009854D9" w:rsidP="009854D9">
      <w:pPr>
        <w:jc w:val="center"/>
      </w:pPr>
    </w:p>
    <w:p w:rsidR="009854D9" w:rsidRPr="009854D9" w:rsidRDefault="009854D9" w:rsidP="009854D9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 данным КЛМЗОС ФГБУ «</w:t>
      </w:r>
      <w:proofErr w:type="gramStart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Центрально-Черноземное</w:t>
      </w:r>
      <w:proofErr w:type="gramEnd"/>
      <w:r w:rsidRPr="0098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УГМС», случаев экстремально высокого загрязнения поверхностных вод не наблюдалось. </w:t>
      </w:r>
    </w:p>
    <w:p w:rsidR="009854D9" w:rsidRPr="00A20665" w:rsidRDefault="009854D9" w:rsidP="00A20665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Источником покрытия потребности в воде на территории Курской области являются поверхностные и подземные воды. Хозяйственно-питьевое водоснабжение Курской области осуществляется исключительно из подземных горизонтов. Для водоснабжения промышленности и энергетики </w:t>
      </w:r>
      <w:r w:rsidRPr="00A20665">
        <w:rPr>
          <w:rFonts w:ascii="Times New Roman" w:hAnsi="Times New Roman" w:cs="Times New Roman"/>
          <w:bCs/>
          <w:sz w:val="28"/>
          <w:szCs w:val="28"/>
        </w:rPr>
        <w:t>широко используется поверхностный сток рек.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>В 2023 году отчитались по форме 2-ТП (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водхоз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>) – 316 водопользователей (в 2022 году - 323).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>Общий объем забора воды из природных источников составил в 2023 году – 210.99 млн</w:t>
      </w:r>
      <w:proofErr w:type="gramStart"/>
      <w:r w:rsidRPr="00A20665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A20665">
        <w:rPr>
          <w:rFonts w:ascii="Times New Roman" w:hAnsi="Times New Roman" w:cs="Times New Roman"/>
          <w:bCs/>
          <w:sz w:val="28"/>
          <w:szCs w:val="28"/>
        </w:rPr>
        <w:t>3, в том числе из поверхностных водных объектов – 105,02 млн.м3, из подземных – 105,97 млн.м3. В 2022 году общий объем забора воды составил 216.56 млн</w:t>
      </w:r>
      <w:proofErr w:type="gramStart"/>
      <w:r w:rsidRPr="00A20665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3, в том числе из поверхностных водных объектов – 116.48 млн.м3, из подземных – 104.38 млн.м3. То есть, объем </w:t>
      </w:r>
      <w:r w:rsidRPr="00A20665">
        <w:rPr>
          <w:rFonts w:ascii="Times New Roman" w:hAnsi="Times New Roman" w:cs="Times New Roman"/>
          <w:bCs/>
          <w:sz w:val="28"/>
          <w:szCs w:val="28"/>
        </w:rPr>
        <w:lastRenderedPageBreak/>
        <w:t>забора уменьшился на 5,57 млн</w:t>
      </w:r>
      <w:proofErr w:type="gramStart"/>
      <w:r w:rsidRPr="00A20665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A20665">
        <w:rPr>
          <w:rFonts w:ascii="Times New Roman" w:hAnsi="Times New Roman" w:cs="Times New Roman"/>
          <w:bCs/>
          <w:sz w:val="28"/>
          <w:szCs w:val="28"/>
        </w:rPr>
        <w:t>3 (2,63%). В том числе объем забора поверхностных вод уменьшился на 4,78 млн</w:t>
      </w:r>
      <w:proofErr w:type="gramStart"/>
      <w:r w:rsidRPr="00A20665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A20665">
        <w:rPr>
          <w:rFonts w:ascii="Times New Roman" w:hAnsi="Times New Roman" w:cs="Times New Roman"/>
          <w:bCs/>
          <w:sz w:val="28"/>
          <w:szCs w:val="28"/>
        </w:rPr>
        <w:t>3 (10,76%), забор подземных вод увеличился на 1,59 млн.м3 (1,52%).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>Структура забора воды из водных объектов в 2023 году по видам экономической деятельности на территории Курской области, в % отношении от общей суммы, приведена на рис. 5.7.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6000750" cy="3133725"/>
            <wp:effectExtent l="19050" t="0" r="0" b="0"/>
            <wp:docPr id="15" name="Рисунок 15" descr="Д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 xml:space="preserve">Рис. 5.7. Структура забора воды из водных объектов по видам 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>экономической деятельности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>Запасы подземных вод и объем годового поверхностного стока полностью покрыли потребности Курской области в водных ресурсах и обеспечили заявленные объемы забора воды по всем отраслям хозяйственной деятельности.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 xml:space="preserve">По состоянию на 31.12.2023 г. общее количество физических и юридических лиц, осуществляющих пользование водными объектами на территории Курской области, составляет 93. Из них 93 (100 %) имеют оформленное в установленном порядке право пользования водными объектами. 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 xml:space="preserve">Основной объем промышленного и коммунального водопотребления в области приходится на реку Сейм с притоками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Тускарь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Свапа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, где размещены крупнейшие промышленные центры - города Курск (предприятия теплоэнергетики, машиностроения, химической промышленности), Железногорск (АО «Михайловский ГОК» им. А.В.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Варичева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), Курчатов (филиал концерна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Росэнергоатом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«Курская атомная электростанция»).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>В Курской области насчитывается 470 искусственных водоемов – прудов, водохранилищ, накопителей сточных вод и промышленных отходов, образованных гидротехническими сооружениями инженерного типа. Из них 1556 имеют объем наполнения более 1 млн. м3 воды, в том числе, четыре водоема с объемом наполнения более 30 млн.м3.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lastRenderedPageBreak/>
        <w:t>1. Пруд-охладитель в пойме реки Сейм (владелец ГТС – филиал концерна «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Росэнергоатом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Курская атомная станция). Полный объем по проекту – 96 млн. м3, площадь зеркала – 21,5 км</w:t>
      </w:r>
      <w:proofErr w:type="gramStart"/>
      <w:r w:rsidRPr="00A20665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. Объем забора воды (подпитки пруда - охладителя) из реки Сейм составил в 2023 году 51,95 млн. м3 (в 2022 году – 59,64 млн. м3) </w:t>
      </w:r>
      <w:proofErr w:type="gramStart"/>
      <w:r w:rsidRPr="00A20665"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установленном договором водопользования 87 млн.м3. Годовой объём стока реки Сейм в створе АЭС составил 960,91 млн.м3. То есть забор воды из реки Сейм на подпитку водоёма-охладителя составил 5,4 % от фактического стока реки Сейм в створе АЭС. Использование воды предназначено в основном для охлаждения оборудования Курской АЭС. Все сооружения находятся в удовлетворительном состоянии. Сброс воды из пруда-охладителя в р. Сейм </w:t>
      </w:r>
      <w:proofErr w:type="gramStart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A20665">
        <w:rPr>
          <w:rFonts w:ascii="Times New Roman" w:hAnsi="Times New Roman" w:cs="Times New Roman"/>
          <w:bCs/>
          <w:sz w:val="28"/>
          <w:szCs w:val="28"/>
        </w:rPr>
        <w:t>продувка) за весь период эксплуатации Курской АЭС не осуществлялся.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 xml:space="preserve">2. Михайловское водохранилище на реке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Свапа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(владелец ГТС - АО «Михайловский ГОК» им. А.В.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Варичева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>). Полный объем 41 млн. м3, площадь зеркала – 14 км</w:t>
      </w:r>
      <w:proofErr w:type="gramStart"/>
      <w:r w:rsidRPr="00A20665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A20665">
        <w:rPr>
          <w:rFonts w:ascii="Times New Roman" w:hAnsi="Times New Roman" w:cs="Times New Roman"/>
          <w:bCs/>
          <w:sz w:val="28"/>
          <w:szCs w:val="28"/>
        </w:rPr>
        <w:t>, НПУ -171,0 м (БС). Приток воды и сброс воды в 2023 году составил соответственно 104,86 и 104,15 млн. м3 (в 2022 году – 86,07 и 86,06 млн</w:t>
      </w:r>
      <w:proofErr w:type="gramStart"/>
      <w:r w:rsidRPr="00A20665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3). Забор воды из водохранилища на производственные нужды АО «Михайловский ГОК»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им.А.В.Варичева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прекращен полностью в 2002 году в связи с включением в оборотный цикл водоснабжения ресурсов рек Чернь,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Рясник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, Речица. На другие цели (орошение и пр.) забор воды из водохранилища не осуществлялся. Техническое состояние ГТС удовлетворительное. Режим эксплуатации осуществляется при уровне воды в водохранилище </w:t>
      </w:r>
      <w:proofErr w:type="gramStart"/>
      <w:r w:rsidRPr="00A20665">
        <w:rPr>
          <w:rFonts w:ascii="Times New Roman" w:hAnsi="Times New Roman" w:cs="Times New Roman"/>
          <w:bCs/>
          <w:sz w:val="28"/>
          <w:szCs w:val="28"/>
        </w:rPr>
        <w:t>близким</w:t>
      </w:r>
      <w:proofErr w:type="gram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к НПУ.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Хвостохранилище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на реке </w:t>
      </w:r>
      <w:proofErr w:type="gramStart"/>
      <w:r w:rsidRPr="00A20665">
        <w:rPr>
          <w:rFonts w:ascii="Times New Roman" w:hAnsi="Times New Roman" w:cs="Times New Roman"/>
          <w:bCs/>
          <w:sz w:val="28"/>
          <w:szCs w:val="28"/>
        </w:rPr>
        <w:t>Песочная</w:t>
      </w:r>
      <w:proofErr w:type="gram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АО «Михайловский ГОК» им. А.В.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Варичева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не имеет водорегулирующих сооружений, перекрыто глухой плотиной и включено в оборотный цикл водоснабжения горно-обогатительного комбината. 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 xml:space="preserve">4. Более 70% акватории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Старооскольского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водохранилища на реке Оскол находится на территории Курской области. Однако гидроузел, находится на территории Белгородской области.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 xml:space="preserve">В 2015 году завершено строительство первой очереди пускового комплекса Курского водохранилища на реке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Тускарь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 xml:space="preserve"> за счёт субсидий из федерального бюджета и средств областного бюджета. Весной 2015 года состоялось заполнение водохранилища до отметки 162,00 м БС.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>Чрезвычайных ситуаций, связанных с авариями на гидротехнических сооружениях в 2023 году не зафиксировано.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>Использование поверхностных водных объектов для целей централизованного питьевого водоснабжения, гидроэнергетики, лесосплава, водного транспорта в Курской области отсутствует.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 xml:space="preserve">Водные объекты без изъятия стока используются также для нужд рыбного хозяйства, для подводных переходов </w:t>
      </w:r>
      <w:proofErr w:type="spellStart"/>
      <w:r w:rsidRPr="00A20665">
        <w:rPr>
          <w:rFonts w:ascii="Times New Roman" w:hAnsi="Times New Roman" w:cs="Times New Roman"/>
          <w:bCs/>
          <w:sz w:val="28"/>
          <w:szCs w:val="28"/>
        </w:rPr>
        <w:t>газо</w:t>
      </w:r>
      <w:proofErr w:type="spellEnd"/>
      <w:r w:rsidRPr="00A20665">
        <w:rPr>
          <w:rFonts w:ascii="Times New Roman" w:hAnsi="Times New Roman" w:cs="Times New Roman"/>
          <w:bCs/>
          <w:sz w:val="28"/>
          <w:szCs w:val="28"/>
        </w:rPr>
        <w:t>- и нефтепроводами, устройства причалов, пляжей и т.д.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t>Так как подавляющее большинство рек Курской области относятся к категории малых, водные объекты испытывают значительную антропогенную нагрузку и нуждаются в восстановлении и экологической реабилитации.</w:t>
      </w:r>
    </w:p>
    <w:p w:rsidR="00A20665" w:rsidRPr="00A20665" w:rsidRDefault="00A20665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20665">
        <w:rPr>
          <w:rFonts w:ascii="Times New Roman" w:hAnsi="Times New Roman" w:cs="Times New Roman"/>
          <w:bCs/>
          <w:sz w:val="28"/>
          <w:szCs w:val="28"/>
        </w:rPr>
        <w:lastRenderedPageBreak/>
        <w:t>Чрезвычайных ситуаций, связанных с затоплением территории в период весеннего половодья и дождевых паводков на территории области в 2023 году не отмечено.</w:t>
      </w:r>
    </w:p>
    <w:p w:rsidR="009854D9" w:rsidRPr="00A20665" w:rsidRDefault="009854D9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854D9" w:rsidRPr="00A20665" w:rsidRDefault="009854D9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854D9" w:rsidRPr="00A20665" w:rsidRDefault="009854D9" w:rsidP="00A206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sectPr w:rsidR="009854D9" w:rsidRPr="00A20665" w:rsidSect="0026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T New Roman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2249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602F3A"/>
    <w:multiLevelType w:val="hybridMultilevel"/>
    <w:tmpl w:val="05B8A65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13C43"/>
    <w:rsid w:val="0026058C"/>
    <w:rsid w:val="00613C43"/>
    <w:rsid w:val="009854D9"/>
    <w:rsid w:val="00A20665"/>
    <w:rsid w:val="00C4305A"/>
    <w:rsid w:val="00E7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43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4">
    <w:name w:val="heading 4"/>
    <w:basedOn w:val="a"/>
    <w:next w:val="a"/>
    <w:link w:val="40"/>
    <w:qFormat/>
    <w:rsid w:val="009854D9"/>
    <w:pPr>
      <w:keepNext/>
      <w:widowControl w:val="0"/>
      <w:numPr>
        <w:ilvl w:val="3"/>
        <w:numId w:val="1"/>
      </w:numPr>
      <w:suppressAutoHyphens w:val="0"/>
      <w:jc w:val="right"/>
      <w:outlineLvl w:val="3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13C4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сновной текст с отступом1"/>
    <w:basedOn w:val="a"/>
    <w:qFormat/>
    <w:rsid w:val="00613C43"/>
    <w:pPr>
      <w:widowControl w:val="0"/>
      <w:spacing w:after="120"/>
      <w:ind w:firstLine="283"/>
      <w:textAlignment w:val="baseline"/>
    </w:pPr>
    <w:rPr>
      <w:rFonts w:ascii="Times New Roman" w:eastAsia="Andale Sans UI" w:hAnsi="Times New Roman" w:cs="Tahoma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13C4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3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40">
    <w:name w:val="Заголовок 4 Знак"/>
    <w:basedOn w:val="a0"/>
    <w:link w:val="4"/>
    <w:rsid w:val="009854D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9854D9"/>
    <w:pPr>
      <w:suppressAutoHyphens w:val="0"/>
      <w:jc w:val="both"/>
    </w:pPr>
    <w:rPr>
      <w:rFonts w:ascii="Times New Roman" w:eastAsia="Times New Roman" w:hAnsi="Times New Roman" w:cs="Times New Roman"/>
      <w:kern w:val="0"/>
      <w:sz w:val="26"/>
      <w:szCs w:val="20"/>
      <w:lang w:bidi="ar-SA"/>
    </w:rPr>
  </w:style>
  <w:style w:type="paragraph" w:customStyle="1" w:styleId="31">
    <w:name w:val="Основной текст 31"/>
    <w:basedOn w:val="a"/>
    <w:rsid w:val="009854D9"/>
    <w:pPr>
      <w:suppressAutoHyphens w:val="0"/>
      <w:overflowPunct w:val="0"/>
      <w:autoSpaceDE w:val="0"/>
      <w:textAlignment w:val="baseline"/>
    </w:pPr>
    <w:rPr>
      <w:rFonts w:ascii="TimeT New Roman" w:eastAsia="TimeT New Roman" w:hAnsi="TimeT New Roman" w:cs="Times New Roman"/>
      <w:kern w:val="0"/>
      <w:sz w:val="26"/>
      <w:szCs w:val="20"/>
      <w:lang w:bidi="ar-SA"/>
    </w:rPr>
  </w:style>
  <w:style w:type="paragraph" w:customStyle="1" w:styleId="xl34">
    <w:name w:val="xl34"/>
    <w:basedOn w:val="a"/>
    <w:rsid w:val="009854D9"/>
    <w:pPr>
      <w:suppressAutoHyphens w:val="0"/>
      <w:spacing w:before="100" w:after="100"/>
      <w:jc w:val="right"/>
      <w:textAlignment w:val="top"/>
    </w:pPr>
    <w:rPr>
      <w:rFonts w:ascii="Times New Roman" w:eastAsia="Arial Unicode MS" w:hAnsi="Times New Roman" w:cs="Times New Roman"/>
      <w:kern w:val="0"/>
      <w:lang w:bidi="ar-SA"/>
    </w:rPr>
  </w:style>
  <w:style w:type="paragraph" w:customStyle="1" w:styleId="Style4">
    <w:name w:val="Style4"/>
    <w:basedOn w:val="a"/>
    <w:uiPriority w:val="99"/>
    <w:rsid w:val="009854D9"/>
    <w:pPr>
      <w:widowControl w:val="0"/>
      <w:suppressAutoHyphens w:val="0"/>
      <w:autoSpaceDE w:val="0"/>
      <w:autoSpaceDN w:val="0"/>
      <w:adjustRightInd w:val="0"/>
      <w:spacing w:line="253" w:lineRule="exact"/>
      <w:ind w:firstLine="226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RMATTEXT">
    <w:name w:val=".FORMATTEXT"/>
    <w:uiPriority w:val="99"/>
    <w:rsid w:val="00985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20665"/>
    <w:pPr>
      <w:spacing w:after="120"/>
      <w:ind w:left="283"/>
    </w:pPr>
    <w:rPr>
      <w:rFonts w:cs="Mangal"/>
      <w:szCs w:val="21"/>
    </w:rPr>
  </w:style>
  <w:style w:type="character" w:customStyle="1" w:styleId="a6">
    <w:name w:val="Основной текст с отступом Знак"/>
    <w:basedOn w:val="a0"/>
    <w:link w:val="a5"/>
    <w:rsid w:val="00A20665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Tulupova</dc:creator>
  <cp:lastModifiedBy>Tulupova</cp:lastModifiedBy>
  <cp:revision>3</cp:revision>
  <dcterms:created xsi:type="dcterms:W3CDTF">2025-04-01T12:11:00Z</dcterms:created>
  <dcterms:modified xsi:type="dcterms:W3CDTF">2025-04-01T12:14:00Z</dcterms:modified>
</cp:coreProperties>
</file>