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00000">
      <w:pPr>
        <w:spacing w:after="0" w:line="240" w:lineRule="auto"/>
        <w:ind w:left="5387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Приложение № 2</w:t>
      </w:r>
    </w:p>
    <w:p w14:paraId="05000000">
      <w:pPr>
        <w:spacing w:after="0" w:line="240" w:lineRule="auto"/>
        <w:ind w:left="0" w:firstLine="7371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</w:t>
      </w:r>
    </w:p>
    <w:tbl>
      <w:tblPr>
        <w:tblStyle w:val="8"/>
        <w:tblW w:w="18268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83"/>
        <w:gridCol w:w="3527"/>
        <w:gridCol w:w="8958"/>
      </w:tblGrid>
      <w:tr w14:paraId="52B27AB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931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bookmarkStart w:id="0" w:name="Par1"/>
            <w:bookmarkEnd w:id="0"/>
            <w:r>
              <w:rPr>
                <w:rFonts w:hint="default" w:ascii="Times New Roman" w:hAnsi="Times New Roman" w:cs="Times New Roman"/>
                <w:b/>
                <w:sz w:val="28"/>
              </w:rPr>
              <w:t>Оценка эффективности реализации</w:t>
            </w:r>
          </w:p>
          <w:p w14:paraId="07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государственной программы Курской области</w:t>
            </w:r>
          </w:p>
          <w:p w14:paraId="0900000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u w:val="single"/>
              </w:rPr>
              <w:t>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</w:t>
            </w:r>
          </w:p>
        </w:tc>
      </w:tr>
      <w:tr w14:paraId="3C58B67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9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88E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1. Оценка эффективности реализации проектной части государственной программы</w:t>
            </w:r>
          </w:p>
          <w:p w14:paraId="2E25B8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lang w:val="ru-RU"/>
              </w:rPr>
              <w:t>Региональный проект</w:t>
            </w:r>
            <w:r>
              <w:rPr>
                <w:rFonts w:hint="default"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0"/>
                <w:highlight w:val="none"/>
                <w:lang w:val="ru-RU"/>
              </w:rPr>
              <w:t>«Повышение уровня обеспеченности инвалидов и детей-инвалидов реабилитационными и абилитационными услугами, а также уровня профессионального развития»</w:t>
            </w:r>
          </w:p>
        </w:tc>
      </w:tr>
      <w:tr w14:paraId="0A3952F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10E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1.1. Уровень достижения реализации мероприятий (результатов) проекта</w:t>
            </w:r>
          </w:p>
          <w:p w14:paraId="5C3F11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УДмп = Мв / М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4274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мп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8"/>
              </w:rPr>
              <w:t>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1,0</w:t>
            </w:r>
          </w:p>
        </w:tc>
      </w:tr>
      <w:tr w14:paraId="50087DB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317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14:paraId="7BA96B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УСз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 Зф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/ Зп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п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29CD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УСз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=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42709,27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/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42709,27</w:t>
            </w:r>
            <w:r>
              <w:rPr>
                <w:rFonts w:hint="default" w:ascii="Times New Roman" w:hAnsi="Times New Roman" w:cs="Times New Roman"/>
                <w:sz w:val="28"/>
              </w:rPr>
              <w:t>= 1,0</w:t>
            </w:r>
          </w:p>
        </w:tc>
      </w:tr>
      <w:tr w14:paraId="51CEE9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0C3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14:paraId="73B614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Эис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 УДмп / УСз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п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4B65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Эис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  <w:lang w:val="ru-RU"/>
              </w:rPr>
              <w:t xml:space="preserve"> = </w:t>
            </w:r>
            <w:r>
              <w:rPr>
                <w:rFonts w:hint="default" w:ascii="Times New Roman" w:hAnsi="Times New Roman" w:cs="Times New Roman"/>
                <w:sz w:val="28"/>
              </w:rPr>
              <w:t>1,0 / 1,0 = 1,0</w:t>
            </w:r>
          </w:p>
        </w:tc>
      </w:tr>
      <w:tr w14:paraId="4E32A2C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587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1.4. Уровень достижения планового значения</w:t>
            </w:r>
          </w:p>
          <w:p w14:paraId="2934E7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показателя проекта</w:t>
            </w:r>
          </w:p>
          <w:p w14:paraId="724060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УДпп = ЗПф / ЗПп</w:t>
            </w:r>
          </w:p>
          <w:p w14:paraId="69925F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(или УДпп = ЗПп / ЗПф)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1DEF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УДпп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 xml:space="preserve"> =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1,0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1,0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=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1,0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  <w:tr w14:paraId="0181D07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7D7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1.5. Уровень достижения показателей проекта</w:t>
            </w:r>
          </w:p>
          <w:p w14:paraId="3EB0B473">
            <w:pPr>
              <w:spacing w:after="0" w:line="240" w:lineRule="auto"/>
              <w:ind w:left="0" w:firstLine="2977"/>
              <w:jc w:val="both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N</w:t>
            </w:r>
          </w:p>
          <w:p w14:paraId="4AC01360">
            <w:pPr>
              <w:spacing w:after="0" w:line="240" w:lineRule="auto"/>
              <w:ind w:left="0" w:firstLine="54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УДпп = </w:t>
            </w:r>
            <w:r>
              <w:rPr>
                <w:rFonts w:hint="default" w:ascii="Times New Roman" w:hAnsi="Times New Roman" w:cs="Times New Roman"/>
                <w:sz w:val="36"/>
              </w:rPr>
              <w:t>Ʃ</w:t>
            </w:r>
            <w:r>
              <w:rPr>
                <w:rFonts w:hint="default" w:ascii="Times New Roman" w:hAnsi="Times New Roman" w:cs="Times New Roman"/>
                <w:sz w:val="28"/>
              </w:rPr>
              <w:t>УДпп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 xml:space="preserve">i </w:t>
            </w:r>
            <w:r>
              <w:rPr>
                <w:rFonts w:hint="default" w:ascii="Times New Roman" w:hAnsi="Times New Roman" w:cs="Times New Roman"/>
                <w:sz w:val="28"/>
              </w:rPr>
              <w:t>/ N</w:t>
            </w:r>
          </w:p>
          <w:p w14:paraId="5FD0BEC7">
            <w:pPr>
              <w:spacing w:after="0" w:line="240" w:lineRule="auto"/>
              <w:ind w:left="0" w:firstLine="54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i=1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09DF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УДпп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=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1,0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1,0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1,0</w:t>
            </w:r>
          </w:p>
        </w:tc>
      </w:tr>
      <w:tr w14:paraId="5E0D33B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810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1.6. Уровень достижения реализации проекта</w:t>
            </w:r>
          </w:p>
          <w:p w14:paraId="74F14B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vertAlign w:val="subscript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 = УДпп x Эис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п</w:t>
            </w:r>
          </w:p>
          <w:p w14:paraId="2022A5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vertAlign w:val="subscript"/>
              </w:rPr>
            </w:pPr>
          </w:p>
          <w:p w14:paraId="1DFB23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vertAlign w:val="subscript"/>
              </w:rPr>
            </w:pPr>
          </w:p>
          <w:p w14:paraId="6D54A2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vertAlign w:val="subscript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F483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 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1,0 x 1,0=1,0</w:t>
            </w:r>
          </w:p>
        </w:tc>
      </w:tr>
      <w:tr w14:paraId="38DDBFE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30B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1.7. Коэффициент значимости проекта в проектной части государственной программы</w:t>
            </w:r>
          </w:p>
          <w:p w14:paraId="6DDCFA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vertAlign w:val="subscript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k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i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 Ф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пi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/ Ф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пч</w:t>
            </w:r>
          </w:p>
          <w:p w14:paraId="5E19EF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62DD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k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42709,27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/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42709,27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1,0</w:t>
            </w:r>
          </w:p>
        </w:tc>
      </w:tr>
      <w:tr w14:paraId="7E239B9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4D1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1.8. Уровень достижения реализации проектной части государственной программы</w:t>
            </w:r>
          </w:p>
          <w:p w14:paraId="58A6534B">
            <w:pPr>
              <w:spacing w:after="0" w:line="240" w:lineRule="auto"/>
              <w:ind w:left="0" w:firstLine="2977"/>
              <w:jc w:val="both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j</w:t>
            </w:r>
          </w:p>
          <w:p w14:paraId="1CCB7096">
            <w:pPr>
              <w:spacing w:after="0" w:line="240" w:lineRule="auto"/>
              <w:ind w:left="0" w:firstLine="54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УДпч = </w:t>
            </w:r>
            <w:r>
              <w:rPr>
                <w:rFonts w:hint="default" w:ascii="Times New Roman" w:hAnsi="Times New Roman" w:cs="Times New Roman"/>
                <w:sz w:val="36"/>
              </w:rPr>
              <w:t>Ʃ(</w:t>
            </w:r>
            <w:r>
              <w:rPr>
                <w:rFonts w:hint="default" w:ascii="Times New Roman" w:hAnsi="Times New Roman" w:cs="Times New Roman"/>
                <w:sz w:val="28"/>
              </w:rPr>
              <w:t>УДп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 xml:space="preserve">i </w:t>
            </w:r>
            <w:r>
              <w:rPr>
                <w:rFonts w:hint="default" w:ascii="Times New Roman" w:hAnsi="Times New Roman" w:cs="Times New Roman"/>
                <w:sz w:val="28"/>
              </w:rPr>
              <w:t>х k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i</w:t>
            </w:r>
            <w:r>
              <w:rPr>
                <w:rFonts w:hint="default" w:ascii="Times New Roman" w:hAnsi="Times New Roman" w:cs="Times New Roman"/>
                <w:sz w:val="28"/>
              </w:rPr>
              <w:t>)</w:t>
            </w:r>
          </w:p>
          <w:p w14:paraId="14A3875F">
            <w:pPr>
              <w:spacing w:after="0" w:line="240" w:lineRule="auto"/>
              <w:ind w:left="0" w:firstLine="54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i=1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2A93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УДпч 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1,0 х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1,0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1,0</w:t>
            </w:r>
          </w:p>
        </w:tc>
      </w:tr>
      <w:tr w14:paraId="4EDBEE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9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 Оценка эффективности реализации процессной части государственной программы</w:t>
            </w:r>
          </w:p>
        </w:tc>
      </w:tr>
      <w:tr w14:paraId="567C33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9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Комплекс процессных мероприятий</w:t>
            </w:r>
            <w:r>
              <w:rPr>
                <w:rFonts w:hint="default"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№ 1</w:t>
            </w:r>
            <w:r>
              <w:rPr>
                <w:rFonts w:hint="default"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8"/>
              </w:rPr>
              <w:t>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области»</w:t>
            </w:r>
          </w:p>
        </w:tc>
      </w:tr>
      <w:tr w14:paraId="010780B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2.1. Уровень достижения реализации мероприятий (результатов) комплекса</w:t>
            </w:r>
          </w:p>
          <w:p w14:paraId="0E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процессных мероприятий</w:t>
            </w:r>
          </w:p>
          <w:p w14:paraId="0F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УДмкпм = Мв / М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УДмкпм =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</w:rPr>
              <w:t>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1,0</w:t>
            </w:r>
          </w:p>
        </w:tc>
      </w:tr>
      <w:tr w14:paraId="7A597AE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14:paraId="12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УСзкпм = Зф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кпм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/ Зп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кпм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УСзкпм= 68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23</w:t>
            </w:r>
            <w:r>
              <w:rPr>
                <w:rFonts w:hint="default" w:ascii="Times New Roman" w:hAnsi="Times New Roman" w:cs="Times New Roman"/>
                <w:sz w:val="28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38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/ 68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23</w:t>
            </w:r>
            <w:r>
              <w:rPr>
                <w:rFonts w:hint="default" w:ascii="Times New Roman" w:hAnsi="Times New Roman" w:cs="Times New Roman"/>
                <w:sz w:val="28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38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 1,0</w:t>
            </w:r>
          </w:p>
        </w:tc>
      </w:tr>
      <w:tr w14:paraId="6F000F0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2.3. Эффективность использования средств областного бюджета (с учетом межбюджетных трансфертов из федерального бюджета)</w:t>
            </w:r>
          </w:p>
          <w:p w14:paraId="15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Эис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кпм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 УДмкпм / УСзкпм</w:t>
            </w:r>
          </w:p>
          <w:p w14:paraId="6D26CA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 w14:paraId="56C343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 w14:paraId="1B8BB1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Эис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кпм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= 1,0/1,0 =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</w:rPr>
              <w:t>,0</w:t>
            </w:r>
          </w:p>
        </w:tc>
      </w:tr>
      <w:tr w14:paraId="2CE2986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2.4.1. Уровень достижения планового значения</w:t>
            </w:r>
          </w:p>
          <w:p w14:paraId="18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показателя «Доля лиц с ограниченными возможностями здоровья и инвалидов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спортом»</w:t>
            </w:r>
          </w:p>
          <w:p w14:paraId="19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 = ЗПф / ЗПп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УДп1 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30,6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30</w:t>
            </w:r>
            <w:r>
              <w:rPr>
                <w:rFonts w:hint="default" w:ascii="Times New Roman" w:hAnsi="Times New Roman" w:cs="Times New Roman"/>
                <w:sz w:val="28"/>
              </w:rPr>
              <w:t>,6 = 1,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00</w:t>
            </w:r>
          </w:p>
          <w:p w14:paraId="1B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УДп1 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.00</w:t>
            </w:r>
          </w:p>
        </w:tc>
      </w:tr>
      <w:tr w14:paraId="615B1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2.4.2. Уровень достижения планового значения</w:t>
            </w:r>
          </w:p>
          <w:p w14:paraId="1D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показателя  «Количество субтитрированных информационных телевизионных программ на канале автономного учреждения Курской области «ТРК «Сейм»</w:t>
            </w:r>
          </w:p>
          <w:p w14:paraId="1E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 = ЗПф / ЗПп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УДп2 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50</w:t>
            </w:r>
            <w:r>
              <w:rPr>
                <w:rFonts w:hint="default" w:ascii="Times New Roman" w:hAnsi="Times New Roman" w:cs="Times New Roman"/>
                <w:sz w:val="28"/>
              </w:rPr>
              <w:t>,0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250,0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=1,0</w:t>
            </w:r>
          </w:p>
        </w:tc>
      </w:tr>
      <w:tr w14:paraId="0737D3F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2.4.3. Уровень достижения планового значения</w:t>
            </w:r>
          </w:p>
          <w:p w14:paraId="21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показателя «Доля студентов из числа инвалидов и лиц с ограниченными возможностями здоровья, обучающихся по образовательным программам среднего профессионального образования, выбывших по причине академической неуспеваемости»</w:t>
            </w:r>
          </w:p>
          <w:p w14:paraId="22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или УДп = ЗПп / ЗПф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УДп3 =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</w:rPr>
              <w:t>/7,0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= 1,0</w:t>
            </w:r>
          </w:p>
        </w:tc>
      </w:tr>
      <w:tr w14:paraId="3C56926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2.5. Уровень достижения показателей  комплекса процессных мероприятий</w:t>
            </w:r>
          </w:p>
          <w:p w14:paraId="25000000">
            <w:pPr>
              <w:spacing w:after="0" w:line="240" w:lineRule="auto"/>
              <w:ind w:firstLine="3200" w:firstLineChars="1600"/>
              <w:jc w:val="both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N</w:t>
            </w:r>
          </w:p>
          <w:p w14:paraId="26000000">
            <w:pPr>
              <w:spacing w:after="0" w:line="240" w:lineRule="auto"/>
              <w:ind w:left="0" w:firstLine="54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УДпкпм = </w:t>
            </w:r>
            <w:r>
              <w:rPr>
                <w:rFonts w:hint="default" w:ascii="Times New Roman" w:hAnsi="Times New Roman" w:cs="Times New Roman"/>
                <w:spacing w:val="0"/>
                <w:sz w:val="28"/>
              </w:rPr>
              <w:t>∑</w:t>
            </w:r>
            <w:r>
              <w:rPr>
                <w:rFonts w:hint="default" w:ascii="Times New Roman" w:hAnsi="Times New Roman" w:cs="Times New Roman"/>
                <w:sz w:val="28"/>
              </w:rPr>
              <w:t>УДп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 xml:space="preserve">i </w:t>
            </w:r>
            <w:r>
              <w:rPr>
                <w:rFonts w:hint="default" w:ascii="Times New Roman" w:hAnsi="Times New Roman" w:cs="Times New Roman"/>
                <w:sz w:val="28"/>
              </w:rPr>
              <w:t>/ N</w:t>
            </w:r>
          </w:p>
          <w:p w14:paraId="27000000">
            <w:pPr>
              <w:spacing w:after="0" w:line="240" w:lineRule="auto"/>
              <w:ind w:left="0" w:firstLine="54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0"/>
              </w:rPr>
              <w:t>i=1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00000">
            <w:pPr>
              <w:spacing w:after="0" w:line="240" w:lineRule="auto"/>
              <w:ind w:left="0" w:firstLine="3261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  <w:p w14:paraId="29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УДпкпм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=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1,0+1,0+1,0/3      </w:t>
            </w:r>
            <w:r>
              <w:rPr>
                <w:rFonts w:hint="default" w:ascii="Times New Roman" w:hAnsi="Times New Roman" w:cs="Times New Roman"/>
                <w:sz w:val="28"/>
              </w:rPr>
              <w:t>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1,0</w:t>
            </w:r>
          </w:p>
        </w:tc>
      </w:tr>
      <w:tr w14:paraId="750E728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2.6. Уровень достижения реализации комплекса процессных мероприятий</w:t>
            </w:r>
          </w:p>
          <w:p w14:paraId="2B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УДкпм = УДпкпм x Эис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кпм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000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УДкпм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=1,0 x 1,0=1,0</w:t>
            </w:r>
          </w:p>
        </w:tc>
      </w:tr>
      <w:tr w14:paraId="4B110BF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2.7. Коэффициент значимости комплекса процесных мероприятий в государственной программы</w:t>
            </w:r>
          </w:p>
          <w:p w14:paraId="2E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vertAlign w:val="subscript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k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j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 Ф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j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/ Ф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прцч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k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29471,50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0,23</w:t>
            </w:r>
          </w:p>
        </w:tc>
      </w:tr>
      <w:tr w14:paraId="558226C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844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 xml:space="preserve">2.8. Уровень достижения реализации </w:t>
            </w:r>
            <w:r>
              <w:rPr>
                <w:rFonts w:hint="default" w:ascii="Times New Roman" w:hAnsi="Times New Roman" w:cs="Times New Roman"/>
                <w:sz w:val="28"/>
              </w:rPr>
              <w:t>мероприятий (результатов) комплекса</w:t>
            </w:r>
          </w:p>
          <w:p w14:paraId="367FBD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 xml:space="preserve"> государственной программы</w:t>
            </w:r>
          </w:p>
          <w:p w14:paraId="25A2D897">
            <w:pPr>
              <w:spacing w:after="0" w:line="240" w:lineRule="auto"/>
              <w:ind w:firstLine="2900" w:firstLineChars="1450"/>
              <w:jc w:val="both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N</w:t>
            </w:r>
          </w:p>
          <w:p w14:paraId="20A148D3">
            <w:pPr>
              <w:spacing w:after="0" w:line="240" w:lineRule="auto"/>
              <w:ind w:left="0" w:firstLine="540"/>
              <w:jc w:val="center"/>
              <w:rPr>
                <w:rFonts w:hint="default" w:ascii="Times New Roman" w:hAnsi="Times New Roman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 xml:space="preserve">УДпрцч =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8"/>
              </w:rPr>
              <w:t>∑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36"/>
              </w:rPr>
              <w:t>(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УДкпм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vertAlign w:val="subscript"/>
              </w:rPr>
              <w:t xml:space="preserve">j 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х k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vertAlign w:val="subscript"/>
              </w:rPr>
              <w:t>j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)</w:t>
            </w:r>
          </w:p>
          <w:p w14:paraId="3222E27D">
            <w:pPr>
              <w:spacing w:after="0" w:line="240" w:lineRule="auto"/>
              <w:ind w:left="2835" w:firstLine="0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j=1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C23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УДпрцч 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1,0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х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0,23 </w:t>
            </w:r>
            <w:r>
              <w:rPr>
                <w:rFonts w:hint="default" w:ascii="Times New Roman" w:hAnsi="Times New Roman" w:cs="Times New Roman"/>
                <w:sz w:val="28"/>
              </w:rPr>
              <w:t>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1,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23</w:t>
            </w:r>
          </w:p>
        </w:tc>
      </w:tr>
      <w:tr w14:paraId="4AB2F1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9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01B1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8"/>
              </w:rPr>
              <w:t>Оценка  эффективности реализации комплекса процессных мероприятий</w:t>
            </w:r>
            <w:r>
              <w:rPr>
                <w:rFonts w:hint="default" w:ascii="Times New Roman" w:hAnsi="Times New Roman" w:cs="Times New Roman"/>
                <w:b w:val="0"/>
                <w:i w:val="0"/>
                <w:sz w:val="28"/>
                <w:lang w:val="ru-RU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i w:val="0"/>
                <w:sz w:val="28"/>
              </w:rPr>
              <w:t>№</w:t>
            </w:r>
            <w:r>
              <w:rPr>
                <w:rFonts w:hint="default" w:ascii="Times New Roman" w:hAnsi="Times New Roman" w:cs="Times New Roman"/>
                <w:b w:val="0"/>
                <w:i w:val="0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sz w:val="28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sz w:val="28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Din Pro Condensed" w:cs="Times New Roman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Совершенствование системы комплексной реабилитации, абилитации инвалидов, в том числе детей-инвалидов, в Курской области</w:t>
            </w:r>
            <w:r>
              <w:rPr>
                <w:rFonts w:hint="default" w:ascii="Times New Roman" w:hAnsi="Times New Roman" w:eastAsia="Din Pro Condensed" w:cs="Times New Roman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ru-RU"/>
              </w:rPr>
              <w:t>»</w:t>
            </w:r>
          </w:p>
        </w:tc>
      </w:tr>
      <w:tr w14:paraId="4B26FBD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5DA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2.1. Уровень достижения реализации мероприятий (результатов) комплекса</w:t>
            </w:r>
          </w:p>
          <w:p w14:paraId="21F333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процессных мероприятий</w:t>
            </w:r>
          </w:p>
          <w:p w14:paraId="4CBC50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УДмкпм = Мв / М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4C9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УДмкпм =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</w:rPr>
              <w:t>=1,0</w:t>
            </w:r>
          </w:p>
        </w:tc>
      </w:tr>
      <w:tr w14:paraId="2BAC013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9F6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14:paraId="53C176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УСзкпм = Зф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кпм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/ Зп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кпм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38F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УСзкпм=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22648,12</w:t>
            </w:r>
            <w:r>
              <w:rPr>
                <w:rFonts w:hint="default" w:ascii="Times New Roman" w:hAnsi="Times New Roman" w:cs="Times New Roman"/>
                <w:sz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22862,83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=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0,99</w:t>
            </w:r>
          </w:p>
          <w:p w14:paraId="2E8679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</w:p>
        </w:tc>
      </w:tr>
      <w:tr w14:paraId="140E8C0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079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2.3. Эффективность использования средств областного бюджета (с учетом межбюджетных трансфертов из федерального бюджета)</w:t>
            </w:r>
          </w:p>
          <w:p w14:paraId="5C0FDF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Эис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кпм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 УДмкпм / УСзкпм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335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Эис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кпм</w:t>
            </w:r>
            <w:r>
              <w:rPr>
                <w:rFonts w:hint="default" w:ascii="Times New Roman" w:hAnsi="Times New Roman" w:cs="Times New Roman"/>
                <w:sz w:val="28"/>
              </w:rPr>
              <w:t>= 1,0/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0,99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 1,0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</w:t>
            </w:r>
          </w:p>
        </w:tc>
      </w:tr>
      <w:tr w14:paraId="3C0BB53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703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2.4.1. Уровень достижения планового значения</w:t>
            </w:r>
          </w:p>
          <w:p w14:paraId="46459C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показателя «</w:t>
            </w:r>
            <w:r>
              <w:rPr>
                <w:rFonts w:hint="default" w:ascii="Times New Roman" w:hAnsi="Times New Roman"/>
                <w:sz w:val="28"/>
                <w:highlight w:val="none"/>
                <w:lang w:val="ru-RU"/>
              </w:rPr>
              <w:t>Доля специалистов Курской области, предоставляющих  оказание реабилитационных и (или) абилитационных услуг инвалидам, прошедших обучение по программам повышения квалификации и профессиональной переподготовки специалистов  по применению методик по реабилитации и абилитации инвалидов, в общей численности таких специалистов Курской области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»</w:t>
            </w:r>
          </w:p>
          <w:p w14:paraId="078536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УДп = ЗПф / ЗПп</w:t>
            </w:r>
          </w:p>
          <w:p w14:paraId="4187C5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или УДп = ЗПп / ЗПф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DF8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УДп1 =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78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78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 xml:space="preserve"> =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>1,0</w:t>
            </w:r>
          </w:p>
          <w:p w14:paraId="5CBDC8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УДп1 =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1,0</w:t>
            </w:r>
          </w:p>
        </w:tc>
      </w:tr>
      <w:tr w14:paraId="078754D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725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2.4.2. Уровень достижения планового значения</w:t>
            </w:r>
          </w:p>
          <w:p w14:paraId="48EA26D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показателя  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«</w:t>
            </w:r>
            <w:r>
              <w:rPr>
                <w:rFonts w:hint="default" w:ascii="Times New Roman" w:hAnsi="Times New Roman"/>
                <w:sz w:val="28"/>
              </w:rPr>
              <w:t>Темп роста  численности инвалидов и лиц с ограниченными возможностями здоровья, принятых на обучение по образовательным программам среднего профессионального образования (по отношению к значению показателя предыдущего года</w:t>
            </w:r>
            <w:r>
              <w:rPr>
                <w:rFonts w:hint="default" w:ascii="Times New Roman" w:hAnsi="Times New Roman"/>
                <w:sz w:val="28"/>
                <w:lang w:val="ru-RU"/>
              </w:rPr>
              <w:t>»</w:t>
            </w:r>
          </w:p>
          <w:p w14:paraId="63529C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УДп = ЗПф / ЗПп</w:t>
            </w:r>
          </w:p>
          <w:p w14:paraId="3F10B4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или УДп = ЗПп / ЗПф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59B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УДп2 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115,5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/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115,5 </w:t>
            </w:r>
            <w:r>
              <w:rPr>
                <w:rFonts w:hint="default" w:ascii="Times New Roman" w:hAnsi="Times New Roman" w:cs="Times New Roman"/>
                <w:sz w:val="28"/>
              </w:rPr>
              <w:t>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1,0</w:t>
            </w:r>
          </w:p>
        </w:tc>
      </w:tr>
      <w:tr w14:paraId="626B67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1AC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2.5. Уровень достижения показателей  комплекса процессных мероприятий</w:t>
            </w:r>
          </w:p>
          <w:p w14:paraId="172C2772">
            <w:pPr>
              <w:spacing w:after="0" w:line="240" w:lineRule="auto"/>
              <w:ind w:left="0" w:firstLine="3261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N</w:t>
            </w:r>
          </w:p>
          <w:p w14:paraId="4181DA4E">
            <w:pPr>
              <w:spacing w:after="0" w:line="240" w:lineRule="auto"/>
              <w:ind w:left="0" w:firstLine="540"/>
              <w:jc w:val="center"/>
              <w:rPr>
                <w:rFonts w:hint="default" w:ascii="Times New Roman" w:hAnsi="Times New Roman" w:cs="Times New Roman"/>
                <w:sz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УДпкпм = </w:t>
            </w:r>
            <w:r>
              <w:rPr>
                <w:rFonts w:hint="default" w:ascii="Times New Roman" w:hAnsi="Times New Roman" w:cs="Times New Roman"/>
                <w:spacing w:val="0"/>
                <w:sz w:val="28"/>
              </w:rPr>
              <w:t>∑</w:t>
            </w:r>
            <w:r>
              <w:rPr>
                <w:rFonts w:hint="default" w:ascii="Times New Roman" w:hAnsi="Times New Roman" w:cs="Times New Roman"/>
                <w:sz w:val="28"/>
              </w:rPr>
              <w:t>УДп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 xml:space="preserve">i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/ </w:t>
            </w:r>
            <w:r>
              <w:rPr>
                <w:rFonts w:hint="default" w:ascii="Times New Roman" w:hAnsi="Times New Roman" w:cs="Times New Roman"/>
                <w:sz w:val="28"/>
                <w:lang w:val="en-US"/>
              </w:rPr>
              <w:t>N</w:t>
            </w:r>
          </w:p>
          <w:p w14:paraId="34D7C0C1">
            <w:pPr>
              <w:spacing w:after="0" w:line="240" w:lineRule="auto"/>
              <w:ind w:left="0" w:firstLine="54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i=1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202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УДпкпм=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</w:rPr>
              <w:t>=1,0</w:t>
            </w:r>
          </w:p>
        </w:tc>
      </w:tr>
      <w:tr w14:paraId="1399AA0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551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2.6. Уровень достижения реализации комплекса процессных мероприятий</w:t>
            </w:r>
          </w:p>
          <w:p w14:paraId="55EC30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УДкпм = УДпкпм x Эис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кпм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ED2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УДкпм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=1,0 x 1,0=1,0</w:t>
            </w:r>
          </w:p>
        </w:tc>
      </w:tr>
      <w:tr w14:paraId="1B5FBE0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B1C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2.7. Коэффициент значимости комплекса процессных мероприятий в процессной части государственной программы</w:t>
            </w:r>
          </w:p>
          <w:p w14:paraId="3C7B45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vertAlign w:val="subscript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k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j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 Ф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j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/ Ф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прцч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1C6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k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22648,12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/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29471,50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0,77</w:t>
            </w:r>
          </w:p>
        </w:tc>
      </w:tr>
      <w:tr w14:paraId="3CDECC2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B8D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2.8. Уровень достижения реализации процессной части государственной программы</w:t>
            </w:r>
          </w:p>
          <w:p w14:paraId="72F5DD4B">
            <w:pPr>
              <w:spacing w:after="0" w:line="240" w:lineRule="auto"/>
              <w:ind w:firstLine="2900" w:firstLineChars="1450"/>
              <w:jc w:val="both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N</w:t>
            </w:r>
          </w:p>
          <w:p w14:paraId="294F0AA3">
            <w:pPr>
              <w:spacing w:after="0" w:line="240" w:lineRule="auto"/>
              <w:ind w:left="0" w:firstLine="540"/>
              <w:jc w:val="center"/>
              <w:rPr>
                <w:rFonts w:hint="default" w:ascii="Times New Roman" w:hAnsi="Times New Roman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 xml:space="preserve">УДпрцч =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8"/>
              </w:rPr>
              <w:t>∑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36"/>
              </w:rPr>
              <w:t>(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УДкпм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vertAlign w:val="subscript"/>
              </w:rPr>
              <w:t xml:space="preserve">j 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х k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vertAlign w:val="subscript"/>
              </w:rPr>
              <w:t>j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)</w:t>
            </w:r>
          </w:p>
          <w:p w14:paraId="3D2A981F">
            <w:pPr>
              <w:spacing w:after="0" w:line="240" w:lineRule="auto"/>
              <w:ind w:firstLine="2800" w:firstLineChars="1400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j=1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333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УДпрцч 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(</w:t>
            </w:r>
            <w:r>
              <w:rPr>
                <w:rFonts w:hint="default" w:ascii="Times New Roman" w:hAnsi="Times New Roman" w:cs="Times New Roman"/>
                <w:sz w:val="28"/>
              </w:rPr>
              <w:t>1,0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х0,23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+ 1,0х0,77) </w:t>
            </w:r>
            <w:r>
              <w:rPr>
                <w:rFonts w:hint="default" w:ascii="Times New Roman" w:hAnsi="Times New Roman" w:cs="Times New Roman"/>
                <w:sz w:val="28"/>
              </w:rPr>
              <w:t>=1,0</w:t>
            </w:r>
          </w:p>
        </w:tc>
      </w:tr>
      <w:tr w14:paraId="2C657FB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9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187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3. Оценка эффективности реализации государственной программы</w:t>
            </w:r>
          </w:p>
        </w:tc>
      </w:tr>
      <w:tr w14:paraId="6EB8260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AC4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3.1. Уровень достижения планового значения</w:t>
            </w:r>
          </w:p>
          <w:p w14:paraId="243DB2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показателя государственной программы «</w:t>
            </w:r>
            <w:r>
              <w:rPr>
                <w:rFonts w:hint="default"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 xml:space="preserve">» </w:t>
            </w:r>
          </w:p>
          <w:p w14:paraId="222C65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УДпгп = ЗПгпф / ЗПгпп</w:t>
            </w:r>
          </w:p>
          <w:p w14:paraId="298587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УДпгп 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83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/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83</w:t>
            </w:r>
            <w:r>
              <w:rPr>
                <w:rFonts w:hint="default" w:ascii="Times New Roman" w:hAnsi="Times New Roman" w:cs="Times New Roman"/>
                <w:sz w:val="28"/>
              </w:rPr>
              <w:t>=1,0</w:t>
            </w:r>
          </w:p>
          <w:p w14:paraId="1DEC6B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8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D75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5DB401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B1E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3.2. Уровень достижения показателей государственной программы</w:t>
            </w:r>
          </w:p>
          <w:p w14:paraId="645814CB">
            <w:pPr>
              <w:spacing w:after="0" w:line="240" w:lineRule="auto"/>
              <w:ind w:firstLine="1700" w:firstLineChars="85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М</w:t>
            </w:r>
          </w:p>
          <w:p w14:paraId="7CA8C282">
            <w:pPr>
              <w:spacing w:after="0" w:line="240" w:lineRule="auto"/>
              <w:ind w:left="0" w:firstLine="54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УДПгп = </w:t>
            </w:r>
            <w:r>
              <w:rPr>
                <w:rFonts w:hint="default" w:ascii="Times New Roman" w:hAnsi="Times New Roman" w:cs="Times New Roman"/>
                <w:spacing w:val="0"/>
                <w:sz w:val="28"/>
              </w:rPr>
              <w:t>∑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УДпгп</w:t>
            </w:r>
            <w:r>
              <w:rPr>
                <w:rFonts w:hint="default" w:ascii="Times New Roman" w:hAnsi="Times New Roman" w:cs="Times New Roman"/>
                <w:sz w:val="28"/>
                <w:vertAlign w:val="subscript"/>
              </w:rPr>
              <w:t xml:space="preserve">i </w:t>
            </w:r>
            <w:r>
              <w:rPr>
                <w:rFonts w:hint="default" w:ascii="Times New Roman" w:hAnsi="Times New Roman" w:cs="Times New Roman"/>
                <w:sz w:val="28"/>
              </w:rPr>
              <w:t>/М</w:t>
            </w:r>
          </w:p>
          <w:p w14:paraId="5078FF8C">
            <w:pPr>
              <w:spacing w:after="0" w:line="240" w:lineRule="auto"/>
              <w:ind w:left="0" w:firstLine="54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i=1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УДПгп = 2/2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=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1,0</w:t>
            </w:r>
          </w:p>
        </w:tc>
      </w:tr>
      <w:tr w14:paraId="123874B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3.3. Коэффициент значимости проектной части для достижения целей государственной программы k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vertAlign w:val="subscript"/>
              </w:rPr>
              <w:t>пч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 xml:space="preserve"> = Ф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vertAlign w:val="subscript"/>
              </w:rPr>
              <w:t>пч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 xml:space="preserve"> / Ф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k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vertAlign w:val="subscript"/>
              </w:rPr>
              <w:t>пч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 xml:space="preserve"> =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42709,274/72180,773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 xml:space="preserve">  =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0,59</w:t>
            </w:r>
          </w:p>
        </w:tc>
      </w:tr>
      <w:tr w14:paraId="54C7DE6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3.4. Коэффициент значимости процессной части для достижения целей государственной программы k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vertAlign w:val="subscript"/>
              </w:rPr>
              <w:t>прцч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 xml:space="preserve"> = Ф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vertAlign w:val="subscript"/>
              </w:rPr>
              <w:t>прцч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/Ф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k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vertAlign w:val="subscript"/>
              </w:rPr>
              <w:t>прцч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=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29471,50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>72180,773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 xml:space="preserve">  =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0,41</w:t>
            </w:r>
          </w:p>
          <w:p w14:paraId="0F876E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k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vertAlign w:val="subscript"/>
              </w:rPr>
              <w:t>прцч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=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1,0</w:t>
            </w:r>
          </w:p>
        </w:tc>
      </w:tr>
      <w:tr w14:paraId="4BA9EE2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958" w:type="dxa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A22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4. Уровень достижения реализации государственной программы</w:t>
            </w:r>
          </w:p>
          <w:p w14:paraId="25A610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УДгп = 0,5 x УДПгп + 0,5 х (УДпч x k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vertAlign w:val="subscript"/>
              </w:rPr>
              <w:t>пч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 xml:space="preserve"> + УДпрцч x k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vertAlign w:val="subscript"/>
              </w:rPr>
              <w:t>прцч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)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00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УДгп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=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0,5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х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1+0,5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х (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 х 0,59+1 х 0,41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sz w:val="28"/>
                <w:highlight w:val="none"/>
                <w:lang w:val="ru-RU"/>
              </w:rPr>
              <w:t xml:space="preserve">)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=1,00</w:t>
            </w:r>
          </w:p>
        </w:tc>
      </w:tr>
    </w:tbl>
    <w:p w14:paraId="44562ED0">
      <w:pPr>
        <w:spacing w:after="0" w:line="240" w:lineRule="auto"/>
        <w:jc w:val="right"/>
        <w:rPr>
          <w:rFonts w:ascii="XO Thames" w:hAnsi="XO Thames"/>
          <w:sz w:val="28"/>
        </w:rPr>
      </w:pPr>
    </w:p>
    <w:p w14:paraId="4B000000">
      <w:pPr>
        <w:rPr>
          <w:rFonts w:ascii="XO Thames" w:hAnsi="XO Thames"/>
        </w:rPr>
      </w:pPr>
    </w:p>
    <w:sectPr>
      <w:headerReference r:id="rId5" w:type="default"/>
      <w:pgSz w:w="11910" w:h="16840"/>
      <w:pgMar w:top="1134" w:right="1191" w:bottom="1134" w:left="1701" w:header="397" w:footer="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n Pro Condens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1"/>
      <w:jc w:val="center"/>
    </w:pPr>
  </w:p>
  <w:p w14:paraId="02000000">
    <w:pPr>
      <w:pStyle w:val="11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0217D11"/>
    <w:rsid w:val="052438CE"/>
    <w:rsid w:val="0A944664"/>
    <w:rsid w:val="12B02035"/>
    <w:rsid w:val="139454D4"/>
    <w:rsid w:val="22CC6BD0"/>
    <w:rsid w:val="24CD67BF"/>
    <w:rsid w:val="25BC4EA9"/>
    <w:rsid w:val="2CAB6EF7"/>
    <w:rsid w:val="2D5E027B"/>
    <w:rsid w:val="2FB02E40"/>
    <w:rsid w:val="2FB51A54"/>
    <w:rsid w:val="38864773"/>
    <w:rsid w:val="3DCB0C69"/>
    <w:rsid w:val="3ED92788"/>
    <w:rsid w:val="42307D25"/>
    <w:rsid w:val="42990E8E"/>
    <w:rsid w:val="48BB0BE3"/>
    <w:rsid w:val="536D310D"/>
    <w:rsid w:val="56356CB0"/>
    <w:rsid w:val="5AA411D3"/>
    <w:rsid w:val="5CF87D5B"/>
    <w:rsid w:val="70065060"/>
    <w:rsid w:val="7311096B"/>
    <w:rsid w:val="733B4EF7"/>
    <w:rsid w:val="771058EA"/>
    <w:rsid w:val="7DA82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76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76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76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76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76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spacing w:before="0" w:after="200" w:line="276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header"/>
    <w:basedOn w:val="1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toc 9"/>
    <w:next w:val="1"/>
    <w:qFormat/>
    <w:uiPriority w:val="39"/>
    <w:pPr>
      <w:spacing w:before="0" w:after="200" w:line="276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spacing w:before="0" w:after="200" w:line="276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toc 1"/>
    <w:next w:val="1"/>
    <w:qFormat/>
    <w:uiPriority w:val="39"/>
    <w:pPr>
      <w:spacing w:before="0" w:after="200" w:line="276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5">
    <w:name w:val="toc 6"/>
    <w:next w:val="1"/>
    <w:qFormat/>
    <w:uiPriority w:val="39"/>
    <w:pPr>
      <w:spacing w:before="0" w:after="200" w:line="276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3"/>
    <w:next w:val="1"/>
    <w:qFormat/>
    <w:uiPriority w:val="39"/>
    <w:pPr>
      <w:spacing w:before="0" w:after="200" w:line="276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2"/>
    <w:next w:val="1"/>
    <w:qFormat/>
    <w:uiPriority w:val="39"/>
    <w:pPr>
      <w:spacing w:before="0" w:after="200" w:line="276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4"/>
    <w:next w:val="1"/>
    <w:qFormat/>
    <w:uiPriority w:val="39"/>
    <w:pPr>
      <w:spacing w:before="0" w:after="200" w:line="276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5"/>
    <w:next w:val="1"/>
    <w:qFormat/>
    <w:uiPriority w:val="39"/>
    <w:pPr>
      <w:spacing w:before="0" w:after="200" w:line="276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itle"/>
    <w:next w:val="1"/>
    <w:qFormat/>
    <w:uiPriority w:val="10"/>
    <w:pPr>
      <w:spacing w:before="567" w:after="567" w:line="276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1">
    <w:name w:val="footer"/>
    <w:basedOn w:val="1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Subtitle"/>
    <w:next w:val="1"/>
    <w:qFormat/>
    <w:uiPriority w:val="11"/>
    <w:pPr>
      <w:spacing w:before="0" w:after="200" w:line="276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3">
    <w:name w:val="Endnote"/>
    <w:link w:val="24"/>
    <w:qFormat/>
    <w:uiPriority w:val="0"/>
    <w:pPr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4">
    <w:name w:val="Endnote1"/>
    <w:link w:val="23"/>
    <w:qFormat/>
    <w:uiPriority w:val="0"/>
    <w:rPr>
      <w:rFonts w:ascii="XO Thames" w:hAnsi="XO Thames"/>
      <w:sz w:val="22"/>
    </w:rPr>
  </w:style>
  <w:style w:type="paragraph" w:customStyle="1" w:styleId="25">
    <w:name w:val="Footnote"/>
    <w:link w:val="26"/>
    <w:qFormat/>
    <w:uiPriority w:val="0"/>
    <w:pPr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6">
    <w:name w:val="Footnote1"/>
    <w:link w:val="25"/>
    <w:qFormat/>
    <w:uiPriority w:val="0"/>
    <w:rPr>
      <w:rFonts w:ascii="XO Thames" w:hAnsi="XO Thames"/>
      <w:sz w:val="22"/>
    </w:rPr>
  </w:style>
  <w:style w:type="paragraph" w:customStyle="1" w:styleId="27">
    <w:name w:val="Header and Footer"/>
    <w:link w:val="28"/>
    <w:qFormat/>
    <w:uiPriority w:val="0"/>
    <w:pPr>
      <w:spacing w:before="0" w:after="20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28">
    <w:name w:val="Header and Footer1"/>
    <w:link w:val="27"/>
    <w:qFormat/>
    <w:uiPriority w:val="0"/>
    <w:rPr>
      <w:rFonts w:ascii="XO Thames" w:hAnsi="XO Thames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TotalTime>11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2026-02-23T08:26:00Z</dcterms:created>
  <dc:creator>user</dc:creator>
  <cp:lastModifiedBy>polyakova_e</cp:lastModifiedBy>
  <cp:lastPrinted>2026-03-05T08:24:00Z</cp:lastPrinted>
  <dcterms:modified xsi:type="dcterms:W3CDTF">2026-03-05T09:25:06Z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3BFCA393BAC048499C567D2FAAB6E916_13</vt:lpwstr>
  </property>
</Properties>
</file>