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ind w:left="8647" w:right="0" w:firstLine="0"/>
        <w:jc w:val="center"/>
        <w:spacing w:before="0" w:after="0" w:line="240" w:lineRule="auto"/>
      </w:pPr>
      <w:r>
        <w:rPr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УТВЕРЖДЕН</w:t>
      </w:r>
      <w:r/>
    </w:p>
    <w:p>
      <w:pPr>
        <w:pStyle w:val="885"/>
        <w:ind w:left="8647" w:right="0" w:firstLine="0"/>
        <w:jc w:val="center"/>
        <w:spacing w:before="0" w:after="0" w:line="240" w:lineRule="auto"/>
      </w:pPr>
      <w:r>
        <w:rPr>
          <w:sz w:val="24"/>
          <w:szCs w:val="24"/>
          <w:lang w:eastAsia="ru-RU"/>
        </w:rPr>
        <w:t xml:space="preserve">приказом управления по обеспечению </w:t>
      </w:r>
      <w:r/>
    </w:p>
    <w:p>
      <w:pPr>
        <w:pStyle w:val="885"/>
        <w:ind w:left="8647" w:right="0" w:firstLine="0"/>
        <w:jc w:val="center"/>
        <w:spacing w:before="0" w:after="0" w:line="240" w:lineRule="auto"/>
      </w:pPr>
      <w:r>
        <w:rPr>
          <w:sz w:val="24"/>
          <w:szCs w:val="24"/>
          <w:lang w:eastAsia="ru-RU"/>
        </w:rPr>
        <w:t xml:space="preserve">деятельности мировых судей Курской области</w:t>
      </w:r>
      <w:r/>
    </w:p>
    <w:p>
      <w:pPr>
        <w:pStyle w:val="885"/>
        <w:ind w:left="8647" w:right="0" w:firstLine="0"/>
        <w:jc w:val="center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06.03.2023 № 17-о </w:t>
      </w:r>
      <w:r/>
    </w:p>
    <w:p>
      <w:pPr>
        <w:ind w:left="8647" w:right="0" w:firstLine="0"/>
        <w:jc w:val="center"/>
        <w:spacing w:before="0" w:after="0" w:line="240" w:lineRule="auto"/>
      </w:pPr>
      <w:r>
        <w:rPr>
          <w:sz w:val="24"/>
          <w:szCs w:val="24"/>
        </w:rPr>
        <w:t xml:space="preserve">(в редакции приказа от 27.12.2023 № 119/о</w:t>
      </w:r>
      <w:r/>
      <w:r/>
    </w:p>
    <w:p>
      <w:pPr>
        <w:pStyle w:val="885"/>
        <w:ind w:left="8647" w:right="0" w:firstLine="0"/>
        <w:jc w:val="center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spacing w:before="0" w:after="0"/>
      </w:pPr>
      <w:r>
        <w:rPr>
          <w:b/>
          <w:bCs/>
        </w:rPr>
        <w:t xml:space="preserve">Детальный план-график реализации государственной программы Курской области</w:t>
      </w:r>
      <w:r/>
    </w:p>
    <w:p>
      <w:pPr>
        <w:pStyle w:val="885"/>
        <w:jc w:val="center"/>
        <w:spacing w:before="0" w:after="0" w:line="240" w:lineRule="auto"/>
      </w:pPr>
      <w:r>
        <w:rPr>
          <w:b/>
          <w:bCs/>
          <w:lang w:eastAsia="ru-RU"/>
        </w:rPr>
        <w:t xml:space="preserve">«Создание условий для эффективного исполнения полномочий в сфере юстиции»</w:t>
      </w:r>
      <w:r/>
    </w:p>
    <w:p>
      <w:pPr>
        <w:pStyle w:val="885"/>
        <w:jc w:val="center"/>
        <w:spacing w:before="0" w:after="0"/>
      </w:pPr>
      <w:r>
        <w:rPr>
          <w:b/>
          <w:bCs/>
          <w:lang w:eastAsia="ru-RU"/>
        </w:rPr>
        <w:t xml:space="preserve">на 2023 год и плановый период 2024 и 2025 годов</w:t>
      </w:r>
      <w:r/>
    </w:p>
    <w:p>
      <w:pPr>
        <w:pStyle w:val="885"/>
        <w:jc w:val="center"/>
        <w:spacing w:before="0" w:after="0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</w:r>
      <w:r>
        <w:rPr>
          <w:b/>
          <w:bCs/>
          <w:sz w:val="22"/>
          <w:szCs w:val="22"/>
          <w:lang w:eastAsia="ru-RU"/>
        </w:rPr>
      </w:r>
      <w:r>
        <w:rPr>
          <w:b/>
          <w:bCs/>
          <w:sz w:val="22"/>
          <w:szCs w:val="22"/>
          <w:lang w:eastAsia="ru-RU"/>
        </w:rPr>
      </w:r>
    </w:p>
    <w:tbl>
      <w:tblPr>
        <w:tblW w:w="5200" w:type="pct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7"/>
        <w:gridCol w:w="2250"/>
        <w:gridCol w:w="588"/>
        <w:gridCol w:w="1126"/>
        <w:gridCol w:w="1527"/>
        <w:gridCol w:w="1312"/>
        <w:gridCol w:w="1233"/>
        <w:gridCol w:w="2412"/>
        <w:gridCol w:w="1415"/>
        <w:gridCol w:w="1257"/>
        <w:gridCol w:w="1395"/>
      </w:tblGrid>
      <w:tr>
        <w:trPr>
          <w:trHeight w:val="7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Наименование подпрограммы, структурного элемента подпрограммы, контрольного события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Ответственный исполнитель (ФИО, должность,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организация)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Ожидаемый результат реализации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Срок начала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Срок окончания реализации (дата контрольного события)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Код бюджетной классификации </w:t>
            </w:r>
            <w:r>
              <w:rPr>
                <w:sz w:val="22"/>
                <w:szCs w:val="22"/>
                <w:vertAlign w:val="superscript"/>
                <w:lang w:eastAsia="ru-RU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Объем ресурсного обеспечения (тыс. руб.)</w:t>
            </w:r>
            <w:r/>
          </w:p>
        </w:tc>
      </w:tr>
      <w:tr>
        <w:trPr>
          <w:trHeight w:val="1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vMerge w:val="continue"/>
            <w:textDirection w:val="lrTb"/>
            <w:noWrap w:val="false"/>
          </w:tcPr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2023 год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2024 год 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2025 год </w:t>
            </w:r>
            <w:r/>
          </w:p>
        </w:tc>
      </w:tr>
      <w:tr>
        <w:trPr>
          <w:trHeight w:val="23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11</w:t>
            </w:r>
            <w:r/>
          </w:p>
        </w:tc>
      </w:tr>
      <w:tr>
        <w:trPr>
          <w:trHeight w:val="23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Всего по государственной программе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200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200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200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200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200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200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442955,580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434851,406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437241,606</w:t>
            </w:r>
            <w:r/>
          </w:p>
        </w:tc>
      </w:tr>
      <w:tr>
        <w:trPr>
          <w:trHeight w:val="19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Подпрограмма 1</w:t>
            </w:r>
            <w:r/>
          </w:p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«Развитие системы органов ЗАГС Курской области»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комитет ЗАГС Курской области 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71213,527 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76227,816 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78570,816 </w:t>
            </w:r>
            <w:r/>
          </w:p>
        </w:tc>
      </w:tr>
      <w:tr>
        <w:trPr>
          <w:trHeight w:val="11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1.1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Основное мероприятие 1 </w:t>
            </w:r>
            <w:r>
              <w:rPr>
                <w:sz w:val="22"/>
                <w:szCs w:val="22"/>
              </w:rPr>
              <w:t xml:space="preserve">Обеспечение государственной регистрации актов гражданского состояния Курской области в соответствии с законодательством Российской Федерации, реализация государственной политики в области семейного права</w:t>
            </w:r>
            <w:r/>
          </w:p>
          <w:p>
            <w:pPr>
              <w:pStyle w:val="885"/>
              <w:spacing w:before="0" w:after="0" w:line="240" w:lineRule="auto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Воробьева О.А.,  председатель комитета ЗАГС Курской области 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Повышение эффективности, качества и оперативности предоставления государственных услуг в сфере государственной регистрации актов гражданского состояния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83901130710110020100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83901130710110020200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83901130710110020800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83901130710159300100 83901130710159300200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83901130710159300500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5"/>
              <w:jc w:val="center"/>
              <w:spacing w:before="0" w:after="0"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5738,983</w:t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3107</w:t>
            </w:r>
            <w:r>
              <w:rPr>
                <w:sz w:val="22"/>
                <w:szCs w:val="22"/>
              </w:rPr>
              <w:t xml:space="preserve">,469</w:t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654,175</w:t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11920,268</w:t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2922,312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46870,320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7454,595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3139,411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647,210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11920,268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3577,052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49489,280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7454,595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3146,375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640,246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11920,268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4045,652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51363,680</w:t>
            </w:r>
            <w:r/>
          </w:p>
        </w:tc>
      </w:tr>
      <w:tr>
        <w:trPr>
          <w:trHeight w:val="1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1.1.1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Мероприятие 1.1.1 </w:t>
            </w:r>
            <w:r>
              <w:rPr>
                <w:sz w:val="22"/>
                <w:szCs w:val="22"/>
              </w:rPr>
              <w:t xml:space="preserve">Организация деятельности </w:t>
            </w:r>
            <w:r>
              <w:rPr>
                <w:sz w:val="22"/>
                <w:szCs w:val="22"/>
                <w:shd w:val="clear" w:color="auto" w:fill="ffffff"/>
              </w:rPr>
              <w:t xml:space="preserve">по государственной регистрации актов гражданского состояния на территории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Воробьева О.А.,  председатель комитета ЗАГС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Повышение эффективности, качества и оперативности предоставления государственных услуг в сфере государственной регистрации актов гражданского состояния</w:t>
            </w:r>
            <w:r>
              <w:rPr>
                <w:sz w:val="22"/>
                <w:szCs w:val="22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83901130710110020100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83901130710110020200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83901130710110020800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83901130710159300100 83901130710159300200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5"/>
              <w:jc w:val="center"/>
              <w:spacing w:before="0" w:after="0"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5738,983</w:t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3107</w:t>
            </w:r>
            <w:r>
              <w:rPr>
                <w:sz w:val="22"/>
                <w:szCs w:val="22"/>
              </w:rPr>
              <w:t xml:space="preserve">,469</w:t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654,175</w:t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11920,268</w:t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2922,312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7454,595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3139,411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647,210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11920,268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3577,052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7454,595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3146,375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640,246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11920,268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4045,652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1.1.1.1 Мониторинг качества предоставления государственных услуг в сфере государственной регистрации актов гражданского состояния в электронном виде в 2023 году проведен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Воробьева О.А.,  председатель комитета ЗАГС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1.1.1.2. Мониторинг качества предоставления государственных услуг в сфере государственной регистрации актов гражданского состояния в электронном виде в 2024 году проведен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Воробьева О.А.,  председатель комитета ЗАГС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1.1.1.3. Мониторинг качества предоставления государственных услуг в сфере государственной регистрации актов гражданского состояния в электронном виде в 2025 году проведен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Воробьева О.А.,  председатель комитета ЗАГС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1.1.2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Мероприятие 1.1.2 </w:t>
            </w:r>
            <w:r>
              <w:rPr>
                <w:sz w:val="22"/>
                <w:szCs w:val="22"/>
              </w:rPr>
              <w:t xml:space="preserve">Распределение субвенций </w:t>
            </w:r>
            <w:r>
              <w:rPr>
                <w:sz w:val="22"/>
                <w:szCs w:val="22"/>
                <w:shd w:val="clear" w:color="auto" w:fill="ffffff"/>
              </w:rPr>
              <w:t xml:space="preserve">на государственную регистрацию актов гражданского состояния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Воробьева О.А.,  председатель комитета ЗАГС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Получение бюджетами муниципальных районов и городских округов средств на выполнение государственных полномочий на государственную регистрацию актов гражданского состояния</w:t>
            </w:r>
            <w:r>
              <w:rPr>
                <w:sz w:val="22"/>
                <w:szCs w:val="22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83901130710159300500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200"/>
            </w:pPr>
            <w:r>
              <w:rPr>
                <w:sz w:val="22"/>
                <w:szCs w:val="22"/>
              </w:rPr>
              <w:t xml:space="preserve">46870,320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49489,280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widowControl w:val="off"/>
            </w:pPr>
            <w:r>
              <w:rPr>
                <w:sz w:val="22"/>
                <w:szCs w:val="22"/>
              </w:rPr>
              <w:t xml:space="preserve">51363,680</w:t>
            </w:r>
            <w:r/>
          </w:p>
          <w:p>
            <w:pPr>
              <w:pStyle w:val="885"/>
              <w:jc w:val="center"/>
              <w:spacing w:before="0" w:after="0"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Подпрограмма 2</w:t>
            </w:r>
            <w:r/>
          </w:p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«Составление (изменение) списков кандидатов в присяжные заседатели</w:t>
            </w:r>
            <w:r>
              <w:rPr>
                <w:b/>
                <w:bCs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Министерство внутренней и молодежной политики</w:t>
            </w:r>
            <w:r/>
          </w:p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2023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33,600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29,900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Основное мероприятие 2.1. Обеспечение составления (изменения) списков кандидатов в присяжные заседатели федеральных судов общей юрисдикции в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1"/>
                <w:szCs w:val="21"/>
              </w:rPr>
              <w:t xml:space="preserve">Лобов Е.В. министр внутренней и молодежной политики Курской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Обеспечение федеральных судов общей юрисдикции в Российской Федерации кандидатами в присяжные заседатели от Курской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80101050720151200800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33,600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29,900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2.1.1.  Отчет об исполь</w:t>
            </w:r>
            <w:r>
              <w:rPr>
                <w:sz w:val="22"/>
                <w:szCs w:val="22"/>
                <w:lang w:eastAsia="ru-RU"/>
              </w:rPr>
              <w:t xml:space="preserve">зовании субвенций для муниципальных образований субъекта Российской Федерации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2024 году подготовлен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Францов Е.Н., начальник управления организационной, финансовой и кадровой работы </w:t>
            </w:r>
            <w:r>
              <w:rPr>
                <w:sz w:val="21"/>
                <w:szCs w:val="21"/>
              </w:rPr>
              <w:t xml:space="preserve">Министерства внутренней и молодежной политики Курской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2.1.2.  Отчет об исполь</w:t>
            </w:r>
            <w:r>
              <w:rPr>
                <w:sz w:val="22"/>
                <w:szCs w:val="22"/>
                <w:lang w:eastAsia="ru-RU"/>
              </w:rPr>
              <w:t xml:space="preserve">зовании субвенций для муниципальных образований субъекта Российской Федерации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2025 году подготовлен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Францов Е.Н., начальник управления организационной, финансовой и кадровой работы </w:t>
            </w:r>
            <w:r>
              <w:rPr>
                <w:sz w:val="21"/>
                <w:szCs w:val="21"/>
              </w:rPr>
              <w:t xml:space="preserve">Министерства внутренней и молодежной политики Курской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2.1.1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Мероприятие 2.1.1</w:t>
            </w:r>
            <w:r/>
          </w:p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Составление (изменение) общего и запасного списков кандидатов в присяжные заседатели </w:t>
            </w:r>
            <w:r/>
          </w:p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для Курского областного суда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1"/>
                <w:szCs w:val="21"/>
              </w:rPr>
              <w:t xml:space="preserve">Дроган А.А., заместитель  министра внутренней и молодежной политики Курской области - начальник управления по взаимодействию с органами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Укомплектованность списков кандидатов в присяжные заседатели для Курского областного суда </w:t>
            </w:r>
            <w:r/>
          </w:p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на 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2.1.1.1 Составленные (измененные) общий и запасной списки кандидатов в присяжные заседатели для Курского областного суда в 2024 году утверждены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1"/>
                <w:szCs w:val="21"/>
              </w:rPr>
              <w:t xml:space="preserve">Дроган А.А., заместитель  министра внутренней и молодежной политики Курской области - начальник управления по взаимодействию с органами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2.1.1.2 Составленные (измененные) общий и запасной списки кандидатов в присяжные заседатели для Курского областного суда в 2025 году утверждены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1"/>
                <w:szCs w:val="21"/>
              </w:rPr>
              <w:t xml:space="preserve">Дроган А.А., заместитель  министра внутренней и молодежной политики Курской области - начальник управления по взаимодействию с органами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2.1.2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Мероприятие 2.1.2 Составление (изменение) общего и запасного списка кандидатов в присяжные заседатели для районных судов Курской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1"/>
                <w:szCs w:val="21"/>
              </w:rPr>
              <w:t xml:space="preserve">Дроган А.А., заместитель  министра внутренней и молодежной политики Курской области - начальник управления по взаимодействию с органами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Укомплектованность списков кандидатов в присяжные заседатели для районных судов Курской области </w:t>
            </w:r>
            <w:r/>
          </w:p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на 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2.1.2.1 Составленные (измененные) общий и запасной списки кандидатов в присяжные заседатели для районных судов Курской области в 2024 году утверждены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1"/>
                <w:szCs w:val="21"/>
              </w:rPr>
              <w:t xml:space="preserve">Дроган А.А., заместитель  министра внутренней и молодежной политики Курской области - начальник управления по взаимодействию с органами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2.1.2.2 Составленные (измененные) общий и запасной списки кандидатов в присяжные заседатели для районных судов Курской области в 2025 году утверждены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1"/>
                <w:szCs w:val="21"/>
              </w:rPr>
              <w:t xml:space="preserve">Дроган А.А., заместитель  министра внутренней и молодежной политики Курской области - начальник управления по взаимодействию с органами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2.1.3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Мероприятие 2.1.3 Составление (изменение) общего и запасного списка кандидатов в присяжные заседатели для 2 Западного окружного военного суда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1"/>
                <w:szCs w:val="21"/>
              </w:rPr>
              <w:t xml:space="preserve">Дроган А.А., заместитель  министра внутренней и молодежной политики Курской области - начальник управления по взаимодействию с органами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Укомплектованность списков кандидатов в присяжные заседатели для 2 Западного окружного военного суда</w:t>
            </w:r>
            <w:r/>
          </w:p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на 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2.1.3.1 Составленные (измененные) общий и запасной списки кандидатов в присяжные заседатели для 2 Западного окружного военного суда в 2024 году утверждены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1"/>
                <w:szCs w:val="21"/>
              </w:rPr>
              <w:t xml:space="preserve">Дроган А.А., заместитель  министра внутренней и молодежной политики Курской области - начальник управления по взаимодействию с органами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2.1.3.2 Составленные (измененные) общий и запасной списки кандидатов в присяжные заседатели для 2 Западного окружного военного суда в 2025 году утверждены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1"/>
                <w:szCs w:val="21"/>
              </w:rPr>
              <w:t xml:space="preserve">Дроган А.А., заместитель  министра внутренней и молодежной политики Курской области - начальник управления по взаимодействию с органами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Подпрограмма 3</w:t>
            </w:r>
            <w:r/>
          </w:p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«Развитие мировой юстиции Курской области»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управление по обеспечению деятельности мировых судей Курской области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371742,053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358589,990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358640,890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3.1.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Основное мероприятие 3.1. Организационное и материально-техническое обеспечение деятельности мировых судей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Нисонов И.И. начальник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увеличение уровня удовлетворенности мировых судей Курской области организационным и материально-техническим обеспечением их деятельности к 2025 году с 70% до 90%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2023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84701050730110010100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84701050730110010200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84701050730110010800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84701050730110020100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84701050730110020200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84701050730110020800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84701050730111620100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84701050730111620200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</w:r>
            <w:r>
              <w:rPr>
                <w:sz w:val="32"/>
                <w:szCs w:val="32"/>
                <w:lang w:eastAsia="ru-RU"/>
              </w:rPr>
            </w:r>
            <w:r>
              <w:rPr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60194,301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6629,906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5,697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186128,590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812,108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537,399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-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117434,052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59797,928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6439,906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5,697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186488,030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899,905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543,515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56,000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104359,009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60275,033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6439,906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5,697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186488,030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993,505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543,515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56,000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103839,204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3.1.1. Мониторинг уровня удовлетворенности мировых судей Курской области организационным и материально-техническим обеспечением их деятельности в 2023 году проведен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Нисонов И.И. начальник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 Мониторинг уровня удовлетворенности мировых судей Курской области организационным и материально-техническим обеспечением их деятельности в 2024 году проведен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Нисонов И.И. начальник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3.1.3. Мониторинг уровня удовлетворенности мировых судей Курской области организационным и материально-техническим обеспечением их деятельности в 2025 году проведен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0"/>
                <w:szCs w:val="20"/>
                <w:lang w:eastAsia="ru-RU"/>
              </w:rPr>
              <w:t xml:space="preserve">Нисонов И.И. начальник управления по обеспечению деятельности мировых судей Курской</w:t>
            </w:r>
            <w:r>
              <w:rPr>
                <w:sz w:val="22"/>
                <w:szCs w:val="22"/>
                <w:lang w:eastAsia="ru-RU"/>
              </w:rPr>
              <w:t xml:space="preserve">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3.1.1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Мероприятие 3.1.1. Проведение ремонтов зданий (помещений) мировых судей, включая работы по разработке проектно-сметной документации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Проведение ремонта, повышение уровня технической укрепленности, антитеррористической устойчивости и противопожарной безопасности 3 зданий (помещений)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84701050730111620200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399,013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12923,470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3000,000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3.1.1.1. Акты выполненных работ по проведению ремонтов зданий (помещений) мировых судей в 2023 году подписаны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val="en-US"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3.1.1.2. Акты выполненных работ по проведению ремонтов зданий (помещений) мировых судей в 2024 году подписаны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val="en-US"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28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3.1.1.3. Акты выполненных работ по проведению ремонтов зданий (помещений) мировых судей в 2025 году подписаны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val="en-US"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3.1.2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Мероприятие 3.1.2. Совершенствование материально-технического и транспортного обеспечения деятельности мировых судей, оборудование зда</w:t>
            </w:r>
            <w:r>
              <w:rPr>
                <w:sz w:val="22"/>
                <w:szCs w:val="22"/>
                <w:lang w:eastAsia="ru-RU"/>
              </w:rPr>
              <w:t xml:space="preserve">ний, помещений, занимаемых мировыми судьями, в том числе приобретение и установка турникетов, кондиционеров, мебели, электротехнического оборудования, средств пожаротушения и знаков пожарной безопасности, металлообнаружителей, грузопассажирского автомобиля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уровень освоения бюджетных средств, предусмотренных на материально-техническое обеспечение деятельности мировых судей не менее 95%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84701050730111620200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886,013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1658,000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2241,000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3.1.2.1. Мебель для зданий (помещений) мировых судей в 2023 году приобретена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val="en-US"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3.1.2.2. Мебель для  зданий (помещений) мировых судей в 2024 году приобретена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val="en-US"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3.1.2.3. Мебель для зданий (помещений) мировых судей в 2025 году приобретена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val="en-US"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3.1.2.4. Турникеты в зданиях (помещениях) мировых судей в 2023 году установлены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3.1.2.5. Турникеты в зданиях (помещениях) мировых судей в 2024 году установлены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3.1.2.6. Турникеты в зданиях (помещениях) мировых судей в 2025 году установлены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3.1.2.7. Стационарные металлообнаружители в 2023 году установлены в зданиях (помещениях) мировых судей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3.1.2.8. Стационарные металлообнаружители в 2024 году установлены в зданиях (помещениях) мировых судей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3.1.2.9. Стационарные металлообнаружители в 2025 году установлены в зданиях (помещениях) мировых судей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3.1.2.10. Кондиционеры (сплит-системы) в зданиях (помещениях) мировых судей  в 2023 году установлены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3.1.2.11. Кондиционеры (сплит-системы) в зданиях (помещениях) мировых судей  в 2024 году установлены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3.1.2.12. Кондиционеры (сплит-системы) в зданиях (помещениях) мировых судей  в 2025 году установлены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3.1.3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Мероприятие 3.1.3. Закупка товаров, работ, услуг в сфере информационно-коммуникационных технологий для обеспечения деятельности мировых судей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уровень освоения бюджетных средств, предусмотренных на материально-техническое обеспечение деятельности мировых судей не менее 95%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84701050730111620200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28760,840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28476,899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28476,899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3.1.3.1. Компьютерная и иная оргтехника, лицензионное программное обеспечение и средства связи в 2023 году приобретены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val="en-US"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3.1.3.2. Компьютерная и иная оргтехника, лицензионное программное обеспечение и средства связи в 2024 году приобретены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val="en-US"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3.1.3.3. Компьютерная и иная оргтехника, лицензионное программное обеспечение и средства связи в 2025 году приобретены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val="en-US"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3.1.4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Мероприятие 3.1.4. Организация дополнительного профессионального образования мировых судей (командировочный расходы и обучение)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Осуществить повышение квалификации 30 мировых судей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84701050730111620100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84701050730111620200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252,500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225,250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0,000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225,250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3.1.4.1. Акты оказанных услуг по дополнительному профессиональному образованию мировых судей 2023 году подписаны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val="en-US"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3.1.4.2. Акты оказанных услуг по дополнительному профессиональному образованию мировых судей в 2024 году подписаны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val="en-US"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3.1.4.3. Акты оказанных услуг по дополнительному профессиональному образованию мировых судей в 2025 году подписаны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val="en-US" w:eastAsia="ru-RU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0"/>
                <w:szCs w:val="20"/>
                <w:lang w:eastAsia="ru-RU"/>
              </w:rPr>
              <w:t xml:space="preserve">Степанов В.В., начальник отдела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3.1.5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Мероприятие 3.1.5. Обеспечение деятельности и выполнение функций управления по обеспечению деятельности мировых судей Курской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0"/>
                <w:szCs w:val="20"/>
                <w:lang w:eastAsia="ru-RU"/>
              </w:rPr>
              <w:t xml:space="preserve">Нисонов И.И. начальник управления по обеспечению деятельности мировых судей Курской</w:t>
            </w:r>
            <w:r>
              <w:rPr>
                <w:sz w:val="22"/>
                <w:szCs w:val="22"/>
                <w:lang w:eastAsia="ru-RU"/>
              </w:rPr>
              <w:t xml:space="preserve">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Обеспечение выполнения целей, задач и показателей подпрограммы 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01.01.2025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31.12.2024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31.12.2025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84701050730110010100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84701050730110010200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84701050730110010800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84701050730110020100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84701050730110020200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84701050730110020800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84701050730111620100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84701050730111620200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</w:r>
            <w:r>
              <w:rPr>
                <w:sz w:val="32"/>
                <w:szCs w:val="32"/>
                <w:lang w:eastAsia="ru-RU"/>
              </w:rPr>
            </w:r>
            <w:r>
              <w:rPr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60194,301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6629,906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5,697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186128,590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812,108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537,399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-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87135,686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/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59797,928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6439,906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5,697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186488,030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899,905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543,515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56,000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61075,390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60275,033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6439,906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5,697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186488,030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993,505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543,515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56,000</w:t>
            </w:r>
            <w:r/>
          </w:p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69896,055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3.1.5.1. Годовой отчет о ходе реализации и оценке Подпрограммы 3</w:t>
            </w:r>
            <w:r/>
          </w:p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«Развитие мировой юстиции Курской области» за 2022 год подготовлен и направлен в комитет по экономике и развитию Курской области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200"/>
            </w:pPr>
            <w:r>
              <w:rPr>
                <w:sz w:val="20"/>
                <w:szCs w:val="20"/>
                <w:lang w:eastAsia="ru-RU"/>
              </w:rPr>
              <w:t xml:space="preserve">Нисонов И.И. начальник управления по обеспечению деятельности мировых судей Курской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01.03.2023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3.1.5.2. Годовой отчет о ходе реализации и оценке Подпрограммы 3</w:t>
            </w:r>
            <w:r/>
          </w:p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«Развитие мировой юстиции Курской области» за 2023 год подготовлен и направлен в комитет по экономике и развитию Курской области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200"/>
            </w:pPr>
            <w:r>
              <w:rPr>
                <w:sz w:val="20"/>
                <w:szCs w:val="20"/>
                <w:lang w:eastAsia="ru-RU"/>
              </w:rPr>
              <w:t xml:space="preserve">Нисонов И.И. начальник управления по обеспечению деятельности мировых судей Курской</w:t>
            </w:r>
            <w:r>
              <w:rPr>
                <w:sz w:val="22"/>
                <w:szCs w:val="22"/>
                <w:lang w:eastAsia="ru-RU"/>
              </w:rPr>
              <w:t xml:space="preserve">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01.03.2024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vAlign w:val="top"/>
            <w:textDirection w:val="lrTb"/>
            <w:noWrap w:val="false"/>
          </w:tcPr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Контрольное событие 3.1.5.3. Годовой отчет о ходе реализации и оценке Подпрограммы 3</w:t>
            </w:r>
            <w:r/>
          </w:p>
          <w:p>
            <w:pPr>
              <w:pStyle w:val="885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«Развитие мировой юстиции Курской области» за 2024 год подготовлен и направлен в комитет по экономике и развитию Курской области</w:t>
            </w:r>
            <w:r/>
          </w:p>
          <w:p>
            <w:pPr>
              <w:pStyle w:val="885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top"/>
            <w:textDirection w:val="lrTb"/>
            <w:noWrap w:val="false"/>
          </w:tcPr>
          <w:p>
            <w:pPr>
              <w:pStyle w:val="885"/>
              <w:spacing w:before="0" w:after="200"/>
            </w:pPr>
            <w:r>
              <w:rPr>
                <w:sz w:val="20"/>
                <w:szCs w:val="20"/>
                <w:lang w:eastAsia="ru-RU"/>
              </w:rPr>
              <w:t xml:space="preserve">Нисонов И.И. начальник управления по обеспечению деятельности мировых судей Курской</w:t>
            </w:r>
            <w:r>
              <w:rPr>
                <w:sz w:val="22"/>
                <w:szCs w:val="22"/>
                <w:lang w:eastAsia="ru-RU"/>
              </w:rPr>
              <w:t xml:space="preserve"> области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01.03.2025</w:t>
            </w:r>
            <w:r/>
          </w:p>
          <w:p>
            <w:pPr>
              <w:pStyle w:val="885"/>
              <w:jc w:val="center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spacing w:before="0" w:after="0" w:line="240" w:lineRule="auto"/>
            </w:pPr>
            <w:r>
              <w:rPr>
                <w:sz w:val="22"/>
                <w:szCs w:val="22"/>
                <w:lang w:eastAsia="ru-RU"/>
              </w:rPr>
              <w:t xml:space="preserve">Х</w:t>
            </w:r>
            <w:r/>
          </w:p>
        </w:tc>
      </w:tr>
    </w:tbl>
    <w:p>
      <w:pPr>
        <w:pStyle w:val="885"/>
        <w:spacing w:before="0" w:after="20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* - включено в план реализации государственной программы Курской области «Создание условий для эффективного исполнения полномочий в сфере юстиции» на 2023 год и  плановый период 2024 и 2025 годов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sectPr>
      <w:headerReference w:type="default" r:id="rId8"/>
      <w:headerReference w:type="first" r:id="rId9"/>
      <w:footnotePr>
        <w:numFmt w:val="decimal"/>
        <w:numRestart w:val="continuous"/>
      </w:footnotePr>
      <w:endnotePr>
        <w:numFmt w:val="lowerRoman"/>
      </w:endnotePr>
      <w:type w:val="nextPage"/>
      <w:pgSz w:w="16838" w:h="11906" w:orient="landscape"/>
      <w:pgMar w:top="1134" w:right="1134" w:bottom="851" w:left="1134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enQuanYi Micro Hei">
    <w:panose1 w:val="020B0606030804020204"/>
  </w:font>
  <w:font w:name="Lohit Devanagari">
    <w:panose1 w:val="020B0600000000000000"/>
  </w:font>
  <w:font w:name="Open Sans">
    <w:panose1 w:val="020B06060305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187960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87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96"/>
                          </w:pPr>
                          <w:r>
                            <w:rPr>
                              <w:rStyle w:val="888"/>
                            </w:rPr>
                            <w:fldChar w:fldCharType="begin"/>
                          </w:r>
                          <w:r>
                            <w:rPr>
                              <w:rStyle w:val="888"/>
                            </w:rPr>
                            <w:instrText xml:space="preserve"> PAGE </w:instrText>
                          </w:r>
                          <w:r>
                            <w:rPr>
                              <w:rStyle w:val="888"/>
                            </w:rPr>
                            <w:fldChar w:fldCharType="separate"/>
                          </w:r>
                          <w:r>
                            <w:rPr>
                              <w:rStyle w:val="888"/>
                            </w:rPr>
                            <w:t xml:space="preserve">2</w:t>
                          </w:r>
                          <w:r>
                            <w:rPr>
                              <w:rStyle w:val="888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885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false;mso-position-horizontal-relative:margin;mso-position-horizontal:center;mso-position-vertical-relative:text;margin-top:0.05pt;mso-position-vertical:absolute;width:14.00pt;height:14.8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896"/>
                    </w:pPr>
                    <w:r>
                      <w:rPr>
                        <w:rStyle w:val="888"/>
                      </w:rPr>
                      <w:fldChar w:fldCharType="begin"/>
                    </w:r>
                    <w:r>
                      <w:rPr>
                        <w:rStyle w:val="888"/>
                      </w:rPr>
                      <w:instrText xml:space="preserve"> PAGE </w:instrText>
                    </w:r>
                    <w:r>
                      <w:rPr>
                        <w:rStyle w:val="888"/>
                      </w:rPr>
                      <w:fldChar w:fldCharType="separate"/>
                    </w:r>
                    <w:r>
                      <w:rPr>
                        <w:rStyle w:val="888"/>
                      </w:rPr>
                      <w:t xml:space="preserve">2</w:t>
                    </w:r>
                    <w:r>
                      <w:rPr>
                        <w:rStyle w:val="888"/>
                      </w:rPr>
                      <w:fldChar w:fldCharType="end"/>
                    </w:r>
                    <w:r/>
                  </w:p>
                  <w:p>
                    <w:pPr>
                      <w:pStyle w:val="88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5"/>
    <w:next w:val="885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5"/>
    <w:next w:val="885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5"/>
    <w:next w:val="885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5"/>
    <w:next w:val="885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5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5"/>
    <w:next w:val="885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5"/>
    <w:next w:val="885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5"/>
    <w:next w:val="885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5"/>
    <w:next w:val="885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5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5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5"/>
    <w:next w:val="8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5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5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5"/>
    <w:next w:val="885"/>
    <w:uiPriority w:val="99"/>
    <w:unhideWhenUsed/>
    <w:pPr>
      <w:spacing w:after="0" w:afterAutospacing="0"/>
    </w:pPr>
  </w:style>
  <w:style w:type="table" w:styleId="88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85" w:default="1">
    <w:name w:val="Normal"/>
    <w:next w:val="885"/>
    <w:link w:val="885"/>
    <w:pPr>
      <w:spacing w:before="0" w:after="200" w:line="276" w:lineRule="auto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character" w:styleId="886">
    <w:name w:val="Основной шрифт абзаца"/>
    <w:next w:val="886"/>
    <w:link w:val="885"/>
  </w:style>
  <w:style w:type="character" w:styleId="887">
    <w:name w:val="Верхний колонтитул Знак"/>
    <w:next w:val="887"/>
    <w:link w:val="885"/>
    <w:rPr>
      <w:sz w:val="28"/>
      <w:szCs w:val="28"/>
      <w:lang w:val="ru-RU" w:bidi="ar-SA"/>
    </w:rPr>
  </w:style>
  <w:style w:type="character" w:styleId="888">
    <w:name w:val="Номер страницы"/>
    <w:basedOn w:val="886"/>
    <w:next w:val="888"/>
    <w:link w:val="885"/>
  </w:style>
  <w:style w:type="character" w:styleId="889">
    <w:name w:val="Текст выноски Знак"/>
    <w:next w:val="889"/>
    <w:link w:val="885"/>
    <w:rPr>
      <w:rFonts w:ascii="Tahoma" w:hAnsi="Tahoma" w:cs="Tahoma"/>
      <w:sz w:val="16"/>
      <w:szCs w:val="16"/>
    </w:rPr>
  </w:style>
  <w:style w:type="paragraph" w:styleId="890">
    <w:name w:val="Заголовок"/>
    <w:basedOn w:val="885"/>
    <w:next w:val="891"/>
    <w:link w:val="885"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891">
    <w:name w:val="Основной текст"/>
    <w:basedOn w:val="885"/>
    <w:next w:val="891"/>
    <w:link w:val="885"/>
    <w:pPr>
      <w:spacing w:before="0" w:after="140" w:line="276" w:lineRule="auto"/>
    </w:pPr>
  </w:style>
  <w:style w:type="paragraph" w:styleId="892">
    <w:name w:val="Список"/>
    <w:basedOn w:val="891"/>
    <w:next w:val="892"/>
    <w:link w:val="885"/>
    <w:rPr>
      <w:rFonts w:cs="Lohit Devanagari"/>
    </w:rPr>
  </w:style>
  <w:style w:type="paragraph" w:styleId="893">
    <w:name w:val="Название"/>
    <w:basedOn w:val="885"/>
    <w:next w:val="893"/>
    <w:link w:val="885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94">
    <w:name w:val="Указатель"/>
    <w:basedOn w:val="885"/>
    <w:next w:val="894"/>
    <w:link w:val="885"/>
    <w:pPr>
      <w:suppressLineNumbers/>
    </w:pPr>
    <w:rPr>
      <w:rFonts w:cs="Lohit Devanagari"/>
    </w:rPr>
  </w:style>
  <w:style w:type="paragraph" w:styleId="895">
    <w:name w:val="Колонтитул"/>
    <w:basedOn w:val="885"/>
    <w:next w:val="895"/>
    <w:link w:val="885"/>
    <w:pPr>
      <w:tabs>
        <w:tab w:val="center" w:pos="4819" w:leader="none"/>
        <w:tab w:val="right" w:pos="9638" w:leader="none"/>
      </w:tabs>
      <w:suppressLineNumbers/>
    </w:pPr>
  </w:style>
  <w:style w:type="paragraph" w:styleId="896">
    <w:name w:val="Верхний колонтитул"/>
    <w:basedOn w:val="885"/>
    <w:next w:val="896"/>
    <w:link w:val="885"/>
    <w:pPr>
      <w:spacing w:before="0" w:after="0" w:line="240" w:lineRule="auto"/>
      <w:tabs>
        <w:tab w:val="center" w:pos="4677" w:leader="none"/>
        <w:tab w:val="right" w:pos="9355" w:leader="none"/>
      </w:tabs>
    </w:pPr>
  </w:style>
  <w:style w:type="paragraph" w:styleId="897">
    <w:name w:val="ConsPlusNormal"/>
    <w:next w:val="897"/>
    <w:link w:val="885"/>
    <w:pPr>
      <w:widowControl w:val="off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98">
    <w:name w:val="Текст выноски"/>
    <w:basedOn w:val="885"/>
    <w:next w:val="898"/>
    <w:link w:val="88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99">
    <w:name w:val="Содержимое таблицы"/>
    <w:basedOn w:val="885"/>
    <w:next w:val="899"/>
    <w:link w:val="885"/>
    <w:pPr>
      <w:widowControl w:val="off"/>
      <w:suppressLineNumbers/>
    </w:pPr>
  </w:style>
  <w:style w:type="paragraph" w:styleId="900">
    <w:name w:val="Заголовок таблицы"/>
    <w:basedOn w:val="899"/>
    <w:next w:val="900"/>
    <w:link w:val="885"/>
    <w:pPr>
      <w:jc w:val="center"/>
      <w:suppressLineNumbers/>
    </w:pPr>
    <w:rPr>
      <w:b/>
      <w:bCs/>
    </w:rPr>
  </w:style>
  <w:style w:type="paragraph" w:styleId="901">
    <w:name w:val="Содержимое врезки"/>
    <w:basedOn w:val="885"/>
    <w:next w:val="901"/>
    <w:link w:val="885"/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east</dc:creator>
  <cp:revision>294</cp:revision>
  <dcterms:created xsi:type="dcterms:W3CDTF">2016-09-20T06:34:00Z</dcterms:created>
  <dcterms:modified xsi:type="dcterms:W3CDTF">2023-12-28T11:17:16Z</dcterms:modified>
</cp:coreProperties>
</file>